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57C8" w14:textId="77777777" w:rsidR="007431AB" w:rsidRPr="007431AB" w:rsidRDefault="007431AB" w:rsidP="007431AB">
      <w:pPr>
        <w:spacing w:before="240" w:after="120" w:line="324" w:lineRule="atLeast"/>
        <w:outlineLvl w:val="0"/>
        <w:rPr>
          <w:rFonts w:ascii="Arial" w:eastAsia="Times New Roman" w:hAnsi="Arial" w:cs="Arial"/>
          <w:b/>
          <w:bCs/>
          <w:color w:val="000000"/>
          <w:kern w:val="36"/>
          <w:sz w:val="29"/>
          <w:szCs w:val="29"/>
          <w:lang w:eastAsia="en-CA"/>
        </w:rPr>
      </w:pPr>
      <w:r w:rsidRPr="007431AB">
        <w:rPr>
          <w:rFonts w:ascii="Arial" w:eastAsia="Times New Roman" w:hAnsi="Arial" w:cs="Arial"/>
          <w:b/>
          <w:bCs/>
          <w:color w:val="000000"/>
          <w:kern w:val="36"/>
          <w:sz w:val="29"/>
          <w:szCs w:val="29"/>
          <w:lang w:eastAsia="en-CA"/>
        </w:rPr>
        <w:t>Drug-related falls in older patients: implicated drugs, consequences, and possible prevention strategies</w:t>
      </w:r>
    </w:p>
    <w:p w14:paraId="05326662" w14:textId="4C030626" w:rsidR="007431AB" w:rsidRPr="007431AB" w:rsidRDefault="007431AB" w:rsidP="007431AB">
      <w:pPr>
        <w:spacing w:line="240" w:lineRule="auto"/>
        <w:rPr>
          <w:rFonts w:ascii="Arial" w:eastAsia="Times New Roman" w:hAnsi="Arial" w:cs="Arial"/>
          <w:color w:val="000000"/>
          <w:sz w:val="19"/>
          <w:szCs w:val="19"/>
          <w:lang w:eastAsia="en-CA"/>
        </w:rPr>
      </w:pPr>
      <w:hyperlink r:id="rId5" w:history="1">
        <w:proofErr w:type="spellStart"/>
        <w:r w:rsidRPr="007431AB">
          <w:rPr>
            <w:rFonts w:ascii="Arial" w:eastAsia="Times New Roman" w:hAnsi="Arial" w:cs="Arial"/>
            <w:color w:val="642A8F"/>
            <w:sz w:val="19"/>
            <w:szCs w:val="19"/>
            <w:u w:val="single"/>
            <w:lang w:eastAsia="en-CA"/>
          </w:rPr>
          <w:t>Marlies</w:t>
        </w:r>
        <w:proofErr w:type="spellEnd"/>
        <w:r w:rsidRPr="007431AB">
          <w:rPr>
            <w:rFonts w:ascii="Arial" w:eastAsia="Times New Roman" w:hAnsi="Arial" w:cs="Arial"/>
            <w:color w:val="642A8F"/>
            <w:sz w:val="19"/>
            <w:szCs w:val="19"/>
            <w:u w:val="single"/>
            <w:lang w:eastAsia="en-CA"/>
          </w:rPr>
          <w:t xml:space="preserve"> R. de Jong</w:t>
        </w:r>
      </w:hyperlink>
      <w:r w:rsidRPr="007431AB">
        <w:rPr>
          <w:rFonts w:ascii="Arial" w:eastAsia="Times New Roman" w:hAnsi="Arial" w:cs="Arial"/>
          <w:color w:val="000000"/>
          <w:sz w:val="19"/>
          <w:szCs w:val="19"/>
          <w:lang w:eastAsia="en-CA"/>
        </w:rPr>
        <w:t>,</w:t>
      </w:r>
      <w:r w:rsidRPr="007431AB">
        <w:rPr>
          <w:rFonts w:ascii="Arial" w:eastAsia="Times New Roman" w:hAnsi="Arial" w:cs="Arial"/>
          <w:noProof/>
          <w:color w:val="000000"/>
          <w:sz w:val="16"/>
          <w:szCs w:val="16"/>
          <w:vertAlign w:val="superscript"/>
          <w:lang w:eastAsia="en-CA"/>
        </w:rPr>
        <w:drawing>
          <wp:inline distT="0" distB="0" distL="0" distR="0" wp14:anchorId="365F8A1B" wp14:editId="0A41F345">
            <wp:extent cx="66675" cy="85725"/>
            <wp:effectExtent l="0" t="0" r="9525" b="9525"/>
            <wp:docPr id="1" name="Picture 1"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Pr="007431AB">
        <w:rPr>
          <w:rFonts w:ascii="Arial" w:eastAsia="Times New Roman" w:hAnsi="Arial" w:cs="Arial"/>
          <w:color w:val="000000"/>
          <w:sz w:val="19"/>
          <w:szCs w:val="19"/>
          <w:lang w:eastAsia="en-CA"/>
        </w:rPr>
        <w:t> </w:t>
      </w:r>
      <w:hyperlink r:id="rId7" w:history="1">
        <w:r w:rsidRPr="007431AB">
          <w:rPr>
            <w:rFonts w:ascii="Arial" w:eastAsia="Times New Roman" w:hAnsi="Arial" w:cs="Arial"/>
            <w:color w:val="642A8F"/>
            <w:sz w:val="19"/>
            <w:szCs w:val="19"/>
            <w:u w:val="single"/>
            <w:lang w:eastAsia="en-CA"/>
          </w:rPr>
          <w:t xml:space="preserve">Maarten Van der </w:t>
        </w:r>
        <w:proofErr w:type="spellStart"/>
        <w:r w:rsidRPr="007431AB">
          <w:rPr>
            <w:rFonts w:ascii="Arial" w:eastAsia="Times New Roman" w:hAnsi="Arial" w:cs="Arial"/>
            <w:color w:val="642A8F"/>
            <w:sz w:val="19"/>
            <w:szCs w:val="19"/>
            <w:u w:val="single"/>
            <w:lang w:eastAsia="en-CA"/>
          </w:rPr>
          <w:t>Elst</w:t>
        </w:r>
        <w:proofErr w:type="spellEnd"/>
      </w:hyperlink>
      <w:r w:rsidRPr="007431AB">
        <w:rPr>
          <w:rFonts w:ascii="Arial" w:eastAsia="Times New Roman" w:hAnsi="Arial" w:cs="Arial"/>
          <w:color w:val="000000"/>
          <w:sz w:val="19"/>
          <w:szCs w:val="19"/>
          <w:lang w:eastAsia="en-CA"/>
        </w:rPr>
        <w:t>, and </w:t>
      </w:r>
      <w:proofErr w:type="spellStart"/>
      <w:r w:rsidRPr="007431AB">
        <w:rPr>
          <w:rFonts w:ascii="Arial" w:eastAsia="Times New Roman" w:hAnsi="Arial" w:cs="Arial"/>
          <w:color w:val="000000"/>
          <w:sz w:val="19"/>
          <w:szCs w:val="19"/>
          <w:lang w:eastAsia="en-CA"/>
        </w:rPr>
        <w:fldChar w:fldCharType="begin"/>
      </w:r>
      <w:r w:rsidRPr="007431AB">
        <w:rPr>
          <w:rFonts w:ascii="Arial" w:eastAsia="Times New Roman" w:hAnsi="Arial" w:cs="Arial"/>
          <w:color w:val="000000"/>
          <w:sz w:val="19"/>
          <w:szCs w:val="19"/>
          <w:lang w:eastAsia="en-CA"/>
        </w:rPr>
        <w:instrText xml:space="preserve"> HYPERLINK "https://www.ncbi.nlm.nih.gov/pubmed/?term=Hartholt%20KA%5BAuthor%5D&amp;cauthor=true&amp;cauthor_uid=25114778" </w:instrText>
      </w:r>
      <w:r w:rsidRPr="007431AB">
        <w:rPr>
          <w:rFonts w:ascii="Arial" w:eastAsia="Times New Roman" w:hAnsi="Arial" w:cs="Arial"/>
          <w:color w:val="000000"/>
          <w:sz w:val="19"/>
          <w:szCs w:val="19"/>
          <w:lang w:eastAsia="en-CA"/>
        </w:rPr>
        <w:fldChar w:fldCharType="separate"/>
      </w:r>
      <w:r w:rsidRPr="007431AB">
        <w:rPr>
          <w:rFonts w:ascii="Arial" w:eastAsia="Times New Roman" w:hAnsi="Arial" w:cs="Arial"/>
          <w:color w:val="642A8F"/>
          <w:sz w:val="19"/>
          <w:szCs w:val="19"/>
          <w:u w:val="single"/>
          <w:lang w:eastAsia="en-CA"/>
        </w:rPr>
        <w:t>Klaas</w:t>
      </w:r>
      <w:proofErr w:type="spellEnd"/>
      <w:r w:rsidRPr="007431AB">
        <w:rPr>
          <w:rFonts w:ascii="Arial" w:eastAsia="Times New Roman" w:hAnsi="Arial" w:cs="Arial"/>
          <w:color w:val="642A8F"/>
          <w:sz w:val="19"/>
          <w:szCs w:val="19"/>
          <w:u w:val="single"/>
          <w:lang w:eastAsia="en-CA"/>
        </w:rPr>
        <w:t xml:space="preserve"> A. </w:t>
      </w:r>
      <w:proofErr w:type="spellStart"/>
      <w:r w:rsidRPr="007431AB">
        <w:rPr>
          <w:rFonts w:ascii="Arial" w:eastAsia="Times New Roman" w:hAnsi="Arial" w:cs="Arial"/>
          <w:color w:val="642A8F"/>
          <w:sz w:val="19"/>
          <w:szCs w:val="19"/>
          <w:u w:val="single"/>
          <w:lang w:eastAsia="en-CA"/>
        </w:rPr>
        <w:t>Hartholt</w:t>
      </w:r>
      <w:proofErr w:type="spellEnd"/>
      <w:r w:rsidRPr="007431AB">
        <w:rPr>
          <w:rFonts w:ascii="Arial" w:eastAsia="Times New Roman" w:hAnsi="Arial" w:cs="Arial"/>
          <w:color w:val="000000"/>
          <w:sz w:val="19"/>
          <w:szCs w:val="19"/>
          <w:lang w:eastAsia="en-CA"/>
        </w:rPr>
        <w:fldChar w:fldCharType="end"/>
      </w:r>
      <w:r w:rsidR="00400716">
        <w:rPr>
          <w:rFonts w:ascii="Arial" w:eastAsia="Times New Roman" w:hAnsi="Arial" w:cs="Arial"/>
          <w:color w:val="000000"/>
          <w:sz w:val="19"/>
          <w:szCs w:val="19"/>
          <w:lang w:eastAsia="en-CA"/>
        </w:rPr>
        <w:t xml:space="preserve">  2013</w:t>
      </w:r>
      <w:bookmarkStart w:id="0" w:name="_GoBack"/>
      <w:bookmarkEnd w:id="0"/>
    </w:p>
    <w:p w14:paraId="798E5F17" w14:textId="77777777" w:rsidR="007431AB" w:rsidRPr="007431AB" w:rsidRDefault="007431AB" w:rsidP="007431AB">
      <w:pPr>
        <w:spacing w:line="393" w:lineRule="atLeast"/>
        <w:rPr>
          <w:rFonts w:ascii="Arial" w:eastAsia="Times New Roman" w:hAnsi="Arial" w:cs="Arial"/>
          <w:color w:val="000000"/>
          <w:sz w:val="16"/>
          <w:szCs w:val="16"/>
          <w:lang w:eastAsia="en-CA"/>
        </w:rPr>
      </w:pPr>
      <w:r w:rsidRPr="007431AB">
        <w:rPr>
          <w:rFonts w:ascii="Arial" w:eastAsia="Times New Roman" w:hAnsi="Arial" w:cs="Arial"/>
          <w:color w:val="000000"/>
          <w:sz w:val="16"/>
          <w:szCs w:val="16"/>
          <w:lang w:eastAsia="en-CA"/>
        </w:rPr>
        <w:fldChar w:fldCharType="begin"/>
      </w:r>
      <w:r w:rsidRPr="007431AB">
        <w:rPr>
          <w:rFonts w:ascii="Arial" w:eastAsia="Times New Roman" w:hAnsi="Arial" w:cs="Arial"/>
          <w:color w:val="000000"/>
          <w:sz w:val="16"/>
          <w:szCs w:val="16"/>
          <w:lang w:eastAsia="en-CA"/>
        </w:rPr>
        <w:instrText xml:space="preserve"> HYPERLINK "https://www.ncbi.nlm.nih.gov/pmc/articles/PMC4125318/" </w:instrText>
      </w:r>
      <w:r w:rsidRPr="007431AB">
        <w:rPr>
          <w:rFonts w:ascii="Arial" w:eastAsia="Times New Roman" w:hAnsi="Arial" w:cs="Arial"/>
          <w:color w:val="000000"/>
          <w:sz w:val="16"/>
          <w:szCs w:val="16"/>
          <w:lang w:eastAsia="en-CA"/>
        </w:rPr>
        <w:fldChar w:fldCharType="separate"/>
      </w:r>
      <w:r w:rsidRPr="007431AB">
        <w:rPr>
          <w:rFonts w:ascii="Arial" w:eastAsia="Times New Roman" w:hAnsi="Arial" w:cs="Arial"/>
          <w:color w:val="642A8F"/>
          <w:sz w:val="16"/>
          <w:szCs w:val="16"/>
          <w:u w:val="single"/>
          <w:lang w:eastAsia="en-CA"/>
        </w:rPr>
        <w:t>Author information ►</w:t>
      </w:r>
      <w:r w:rsidRPr="007431AB">
        <w:rPr>
          <w:rFonts w:ascii="Arial" w:eastAsia="Times New Roman" w:hAnsi="Arial" w:cs="Arial"/>
          <w:color w:val="000000"/>
          <w:sz w:val="16"/>
          <w:szCs w:val="16"/>
          <w:lang w:eastAsia="en-CA"/>
        </w:rPr>
        <w:fldChar w:fldCharType="end"/>
      </w:r>
      <w:r w:rsidRPr="007431AB">
        <w:rPr>
          <w:rFonts w:ascii="Arial" w:eastAsia="Times New Roman" w:hAnsi="Arial" w:cs="Arial"/>
          <w:color w:val="000000"/>
          <w:sz w:val="16"/>
          <w:szCs w:val="16"/>
          <w:lang w:eastAsia="en-CA"/>
        </w:rPr>
        <w:t> </w:t>
      </w:r>
      <w:hyperlink r:id="rId8" w:history="1">
        <w:r w:rsidRPr="007431AB">
          <w:rPr>
            <w:rFonts w:ascii="Arial" w:eastAsia="Times New Roman" w:hAnsi="Arial" w:cs="Arial"/>
            <w:color w:val="642A8F"/>
            <w:sz w:val="16"/>
            <w:szCs w:val="16"/>
            <w:u w:val="single"/>
            <w:lang w:eastAsia="en-CA"/>
          </w:rPr>
          <w:t>Copyright and License information ►</w:t>
        </w:r>
      </w:hyperlink>
    </w:p>
    <w:p w14:paraId="65E2FCF9" w14:textId="77777777" w:rsidR="007431AB" w:rsidRPr="007431AB" w:rsidRDefault="007431AB" w:rsidP="007431AB">
      <w:pPr>
        <w:shd w:val="clear" w:color="auto" w:fill="FFF4CE"/>
        <w:spacing w:line="393" w:lineRule="atLeast"/>
        <w:rPr>
          <w:rFonts w:ascii="Arial" w:eastAsia="Times New Roman" w:hAnsi="Arial" w:cs="Arial"/>
          <w:color w:val="000000"/>
          <w:sz w:val="16"/>
          <w:szCs w:val="16"/>
          <w:lang w:eastAsia="en-CA"/>
        </w:rPr>
      </w:pPr>
      <w:r w:rsidRPr="007431AB">
        <w:rPr>
          <w:rFonts w:ascii="Arial" w:eastAsia="Times New Roman" w:hAnsi="Arial" w:cs="Arial"/>
          <w:color w:val="000000"/>
          <w:sz w:val="16"/>
          <w:szCs w:val="16"/>
          <w:lang w:eastAsia="en-CA"/>
        </w:rPr>
        <w:t>This article has been </w:t>
      </w:r>
      <w:hyperlink r:id="rId9" w:history="1">
        <w:r w:rsidRPr="007431AB">
          <w:rPr>
            <w:rFonts w:ascii="Arial" w:eastAsia="Times New Roman" w:hAnsi="Arial" w:cs="Arial"/>
            <w:color w:val="642A8F"/>
            <w:sz w:val="16"/>
            <w:szCs w:val="16"/>
            <w:u w:val="single"/>
            <w:lang w:eastAsia="en-CA"/>
          </w:rPr>
          <w:t>cited by</w:t>
        </w:r>
      </w:hyperlink>
      <w:r w:rsidRPr="007431AB">
        <w:rPr>
          <w:rFonts w:ascii="Arial" w:eastAsia="Times New Roman" w:hAnsi="Arial" w:cs="Arial"/>
          <w:color w:val="000000"/>
          <w:sz w:val="16"/>
          <w:szCs w:val="16"/>
          <w:lang w:eastAsia="en-CA"/>
        </w:rPr>
        <w:t> other articles in PMC.</w:t>
      </w:r>
    </w:p>
    <w:p w14:paraId="500FD3F8" w14:textId="77777777" w:rsidR="007431AB" w:rsidRPr="007431AB" w:rsidRDefault="007431AB" w:rsidP="007431AB">
      <w:pPr>
        <w:spacing w:after="0" w:line="240" w:lineRule="auto"/>
        <w:jc w:val="right"/>
        <w:rPr>
          <w:rFonts w:ascii="Arial" w:eastAsia="Times New Roman" w:hAnsi="Arial" w:cs="Arial"/>
          <w:vanish/>
          <w:color w:val="000000"/>
          <w:sz w:val="24"/>
          <w:szCs w:val="24"/>
          <w:lang w:val="en" w:eastAsia="en-CA"/>
        </w:rPr>
      </w:pPr>
      <w:hyperlink r:id="rId10" w:tooltip="Go to other sections in this page" w:history="1">
        <w:r w:rsidRPr="007431AB">
          <w:rPr>
            <w:rFonts w:ascii="Arial" w:eastAsia="Times New Roman" w:hAnsi="Arial" w:cs="Arial"/>
            <w:vanish/>
            <w:color w:val="642A8F"/>
            <w:sz w:val="24"/>
            <w:szCs w:val="24"/>
            <w:u w:val="single"/>
            <w:lang w:val="en" w:eastAsia="en-CA"/>
          </w:rPr>
          <w:t>Go to:</w:t>
        </w:r>
      </w:hyperlink>
    </w:p>
    <w:p w14:paraId="0A43A012"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val="en" w:eastAsia="en-CA"/>
        </w:rPr>
      </w:pPr>
      <w:r w:rsidRPr="007431AB">
        <w:rPr>
          <w:rFonts w:ascii="Arial" w:eastAsia="Times New Roman" w:hAnsi="Arial" w:cs="Arial"/>
          <w:b/>
          <w:bCs/>
          <w:color w:val="985735"/>
          <w:sz w:val="27"/>
          <w:szCs w:val="27"/>
          <w:lang w:val="en" w:eastAsia="en-CA"/>
        </w:rPr>
        <w:t>Abstract</w:t>
      </w:r>
    </w:p>
    <w:p w14:paraId="5F60973F" w14:textId="77777777" w:rsidR="007431AB" w:rsidRPr="007431AB" w:rsidRDefault="007431AB" w:rsidP="007431AB">
      <w:pPr>
        <w:spacing w:before="166" w:after="166" w:line="240" w:lineRule="auto"/>
        <w:rPr>
          <w:rFonts w:ascii="Times New Roman" w:eastAsia="Times New Roman" w:hAnsi="Times New Roman" w:cs="Times New Roman"/>
          <w:vanish/>
          <w:color w:val="000000"/>
          <w:sz w:val="24"/>
          <w:szCs w:val="24"/>
          <w:lang w:val="en" w:eastAsia="en-CA"/>
        </w:rPr>
      </w:pPr>
      <w:r w:rsidRPr="007431AB">
        <w:rPr>
          <w:rFonts w:ascii="Times New Roman" w:eastAsia="Times New Roman" w:hAnsi="Times New Roman" w:cs="Times New Roman"/>
          <w:vanish/>
          <w:color w:val="000000"/>
          <w:sz w:val="24"/>
          <w:szCs w:val="24"/>
          <w:lang w:val="en" w:eastAsia="en-CA"/>
        </w:rPr>
        <w:t>Falls are the leading cause of injuries among older adults, aged 65 years and older. Furthermore, falls are an increasing public health problem because of ageing populations worldwide due to an increase in the number of older adults, and an increase in life expectancy. Numerous studies have identified risk factors and investigated possible strategies to prevent (recurrent) falls in community-dwelling older people and those living in long-term care facilities. Several types of drugs have been associated with an increased fall risk. Since drugs are a modifiable risk factor, periodic drug review among older adults should be incorporated in a fall prevention programme.</w:t>
      </w:r>
    </w:p>
    <w:p w14:paraId="17973B62" w14:textId="77777777" w:rsidR="007431AB" w:rsidRPr="007431AB" w:rsidRDefault="007431AB" w:rsidP="007431AB">
      <w:pPr>
        <w:spacing w:after="0" w:line="240" w:lineRule="auto"/>
        <w:rPr>
          <w:rFonts w:ascii="Times New Roman" w:eastAsia="Times New Roman" w:hAnsi="Times New Roman" w:cs="Times New Roman"/>
          <w:vanish/>
          <w:color w:val="000000"/>
          <w:sz w:val="24"/>
          <w:szCs w:val="24"/>
          <w:lang w:val="en" w:eastAsia="en-CA"/>
        </w:rPr>
      </w:pPr>
      <w:r w:rsidRPr="007431AB">
        <w:rPr>
          <w:rFonts w:ascii="Times New Roman" w:eastAsia="Times New Roman" w:hAnsi="Times New Roman" w:cs="Times New Roman"/>
          <w:b/>
          <w:bCs/>
          <w:vanish/>
          <w:color w:val="000000"/>
          <w:sz w:val="24"/>
          <w:szCs w:val="24"/>
          <w:lang w:val="en" w:eastAsia="en-CA"/>
        </w:rPr>
        <w:t>Keywords: </w:t>
      </w:r>
      <w:r w:rsidRPr="007431AB">
        <w:rPr>
          <w:rFonts w:ascii="Times New Roman" w:eastAsia="Times New Roman" w:hAnsi="Times New Roman" w:cs="Times New Roman"/>
          <w:vanish/>
          <w:color w:val="000000"/>
          <w:sz w:val="24"/>
          <w:szCs w:val="24"/>
          <w:lang w:val="en" w:eastAsia="en-CA"/>
        </w:rPr>
        <w:t>accidental falls, aged, drugs, falls, risk factors</w:t>
      </w:r>
    </w:p>
    <w:p w14:paraId="1FCDDCDF"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11" w:tooltip="Go to other sections in this page" w:history="1">
        <w:r w:rsidRPr="007431AB">
          <w:rPr>
            <w:rFonts w:ascii="Arial" w:eastAsia="Times New Roman" w:hAnsi="Arial" w:cs="Arial"/>
            <w:color w:val="642A8F"/>
            <w:sz w:val="24"/>
            <w:szCs w:val="24"/>
            <w:u w:val="single"/>
            <w:lang w:eastAsia="en-CA"/>
          </w:rPr>
          <w:t>Go to:</w:t>
        </w:r>
      </w:hyperlink>
    </w:p>
    <w:p w14:paraId="379F0851"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Introduction</w:t>
      </w:r>
    </w:p>
    <w:p w14:paraId="6B0ED2D5"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Falls among the older population are associated with a high morbidity and mortality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Kannus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12" w:anchor="bibr52-2042098613486829" w:history="1">
        <w:r w:rsidRPr="007431AB">
          <w:rPr>
            <w:rFonts w:ascii="Times New Roman" w:eastAsia="Times New Roman" w:hAnsi="Times New Roman" w:cs="Times New Roman"/>
            <w:color w:val="642A8F"/>
            <w:sz w:val="24"/>
            <w:szCs w:val="24"/>
            <w:u w:val="single"/>
            <w:lang w:eastAsia="en-CA"/>
          </w:rPr>
          <w:t>Tinetti, 2003</w:t>
        </w:r>
      </w:hyperlink>
      <w:r w:rsidRPr="007431AB">
        <w:rPr>
          <w:rFonts w:ascii="Times New Roman" w:eastAsia="Times New Roman" w:hAnsi="Times New Roman" w:cs="Times New Roman"/>
          <w:color w:val="000000"/>
          <w:sz w:val="24"/>
          <w:szCs w:val="24"/>
          <w:lang w:eastAsia="en-CA"/>
        </w:rPr>
        <w:t>]. Due to ageing of societies worldwide, it is expected that falls and their related injuries will become a more prominent public health issue in the coming decades. In this paper the epidemiology of falls, as well as known risk factors including the use of (fall risk increasing) drugs will be highlighted.</w:t>
      </w:r>
    </w:p>
    <w:p w14:paraId="32BB1331"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13" w:tooltip="Go to other sections in this page" w:history="1">
        <w:r w:rsidRPr="007431AB">
          <w:rPr>
            <w:rFonts w:ascii="Arial" w:eastAsia="Times New Roman" w:hAnsi="Arial" w:cs="Arial"/>
            <w:color w:val="642A8F"/>
            <w:sz w:val="24"/>
            <w:szCs w:val="24"/>
            <w:u w:val="single"/>
            <w:lang w:eastAsia="en-CA"/>
          </w:rPr>
          <w:t>Go to:</w:t>
        </w:r>
      </w:hyperlink>
    </w:p>
    <w:p w14:paraId="4DDC0229"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Epidemiology</w:t>
      </w:r>
    </w:p>
    <w:p w14:paraId="0C4BC40D"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Approximately a third of community-dwelling people aged 65 years and older fall at least once per year. About half (15%) fall at least twice or more times per year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"bibr47-2042098613486829"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Stel</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2004</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Fall accidents are even more common in older people residing in nursing homes with an incidence approaching 50% [</w:t>
      </w:r>
      <w:hyperlink r:id="rId14" w:anchor="bibr43-2042098613486829" w:history="1">
        <w:r w:rsidRPr="007431AB">
          <w:rPr>
            <w:rFonts w:ascii="Times New Roman" w:eastAsia="Times New Roman" w:hAnsi="Times New Roman" w:cs="Times New Roman"/>
            <w:color w:val="642A8F"/>
            <w:sz w:val="24"/>
            <w:szCs w:val="24"/>
            <w:u w:val="single"/>
            <w:lang w:eastAsia="en-CA"/>
          </w:rPr>
          <w:t>Rubenstein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1994</w:t>
        </w:r>
      </w:hyperlink>
      <w:r w:rsidRPr="007431AB">
        <w:rPr>
          <w:rFonts w:ascii="Times New Roman" w:eastAsia="Times New Roman" w:hAnsi="Times New Roman" w:cs="Times New Roman"/>
          <w:color w:val="000000"/>
          <w:sz w:val="24"/>
          <w:szCs w:val="24"/>
          <w:lang w:eastAsia="en-CA"/>
        </w:rPr>
        <w:t>]. The incidence of falls is age related and increases with age. The highest incidence of falls is seen in very old people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15" w:anchor="bibr6-2042098613486829" w:history="1">
        <w:r w:rsidRPr="007431AB">
          <w:rPr>
            <w:rFonts w:ascii="Times New Roman" w:eastAsia="Times New Roman" w:hAnsi="Times New Roman" w:cs="Times New Roman"/>
            <w:color w:val="642A8F"/>
            <w:sz w:val="24"/>
            <w:szCs w:val="24"/>
            <w:u w:val="single"/>
            <w:lang w:eastAsia="en-CA"/>
          </w:rPr>
          <w:t>Campbell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1990</w:t>
        </w:r>
      </w:hyperlink>
      <w:r w:rsidRPr="007431AB">
        <w:rPr>
          <w:rFonts w:ascii="Times New Roman" w:eastAsia="Times New Roman" w:hAnsi="Times New Roman" w:cs="Times New Roman"/>
          <w:color w:val="000000"/>
          <w:sz w:val="24"/>
          <w:szCs w:val="24"/>
          <w:lang w:eastAsia="en-CA"/>
        </w:rPr>
        <w:t>]. Campbell and colleagues showed that the incidence rate of falls (number of falls per 100 person years) increased from 47 in people aged 70–74 years to 121 in those aged 80 years [</w:t>
      </w:r>
      <w:hyperlink r:id="rId16" w:anchor="bibr6-2042098613486829" w:history="1">
        <w:r w:rsidRPr="007431AB">
          <w:rPr>
            <w:rFonts w:ascii="Times New Roman" w:eastAsia="Times New Roman" w:hAnsi="Times New Roman" w:cs="Times New Roman"/>
            <w:color w:val="642A8F"/>
            <w:sz w:val="24"/>
            <w:szCs w:val="24"/>
            <w:u w:val="single"/>
            <w:lang w:eastAsia="en-CA"/>
          </w:rPr>
          <w:t>Campbell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1990</w:t>
        </w:r>
      </w:hyperlink>
      <w:r w:rsidRPr="007431AB">
        <w:rPr>
          <w:rFonts w:ascii="Times New Roman" w:eastAsia="Times New Roman" w:hAnsi="Times New Roman" w:cs="Times New Roman"/>
          <w:color w:val="000000"/>
          <w:sz w:val="24"/>
          <w:szCs w:val="24"/>
          <w:lang w:eastAsia="en-CA"/>
        </w:rPr>
        <w:t>]. Age-related problems, including falls, are expected to increase in the coming decades due to ageing societies worldwide. With the predicted ageing of societies and fall-related injuries increasing in older adults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Kannus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falls are expected to become one of the major public health problems in communities worldwide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Kannus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1999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51ACE271"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17" w:tooltip="Go to other sections in this page" w:history="1">
        <w:r w:rsidRPr="007431AB">
          <w:rPr>
            <w:rFonts w:ascii="Arial" w:eastAsia="Times New Roman" w:hAnsi="Arial" w:cs="Arial"/>
            <w:color w:val="642A8F"/>
            <w:sz w:val="24"/>
            <w:szCs w:val="24"/>
            <w:u w:val="single"/>
            <w:lang w:eastAsia="en-CA"/>
          </w:rPr>
          <w:t>Go to:</w:t>
        </w:r>
      </w:hyperlink>
    </w:p>
    <w:p w14:paraId="7077D9F9"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Consequences</w:t>
      </w:r>
    </w:p>
    <w:p w14:paraId="40F205E4"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Falls among older people have a major impact on the society and the individual patient. Falls are the leading cause of injury among older people and consequently result in high healthcare demand (</w:t>
      </w:r>
      <w:hyperlink r:id="rId18" w:tgtFrame="true" w:history="1">
        <w:r w:rsidRPr="007431AB">
          <w:rPr>
            <w:rFonts w:ascii="Times New Roman" w:eastAsia="Times New Roman" w:hAnsi="Times New Roman" w:cs="Times New Roman"/>
            <w:color w:val="642A8F"/>
            <w:sz w:val="24"/>
            <w:szCs w:val="24"/>
            <w:u w:val="single"/>
            <w:lang w:eastAsia="en-CA"/>
          </w:rPr>
          <w:t>Table 1</w:t>
        </w:r>
      </w:hyperlink>
      <w:r w:rsidRPr="007431AB">
        <w:rPr>
          <w:rFonts w:ascii="Times New Roman" w:eastAsia="Times New Roman" w:hAnsi="Times New Roman" w:cs="Times New Roman"/>
          <w:color w:val="000000"/>
          <w:sz w:val="24"/>
          <w:szCs w:val="24"/>
          <w:lang w:eastAsia="en-CA"/>
        </w:rPr>
        <w:t>), including direct medical treatment, long-term rehabilitation and social consequences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2010b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19" w:anchor="bibr19-2042098613486829" w:history="1">
        <w:r w:rsidRPr="007431AB">
          <w:rPr>
            <w:rFonts w:ascii="Times New Roman" w:eastAsia="Times New Roman" w:hAnsi="Times New Roman" w:cs="Times New Roman"/>
            <w:color w:val="642A8F"/>
            <w:sz w:val="24"/>
            <w:szCs w:val="24"/>
            <w:u w:val="single"/>
            <w:lang w:eastAsia="en-CA"/>
          </w:rPr>
          <w:t>2011b</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Kannus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1FD8CCFA" w14:textId="4DC79BE1" w:rsidR="007431AB" w:rsidRPr="007431AB" w:rsidRDefault="007431AB" w:rsidP="007431AB">
      <w:pPr>
        <w:spacing w:after="0" w:line="240" w:lineRule="auto"/>
        <w:rPr>
          <w:rFonts w:ascii="Times New Roman" w:eastAsia="Times New Roman" w:hAnsi="Times New Roman" w:cs="Times New Roman"/>
          <w:color w:val="000000"/>
          <w:sz w:val="24"/>
          <w:szCs w:val="24"/>
          <w:lang w:eastAsia="en-CA"/>
        </w:rPr>
      </w:pPr>
    </w:p>
    <w:p w14:paraId="5B3C61CB" w14:textId="7DB3DF86" w:rsidR="007431AB" w:rsidRDefault="007431AB" w:rsidP="007431AB">
      <w:pPr>
        <w:spacing w:after="0" w:line="240" w:lineRule="auto"/>
        <w:textAlignment w:val="top"/>
        <w:rPr>
          <w:rFonts w:ascii="Times New Roman" w:eastAsia="Times New Roman" w:hAnsi="Times New Roman" w:cs="Times New Roman"/>
          <w:color w:val="000000"/>
          <w:sz w:val="24"/>
          <w:szCs w:val="24"/>
          <w:lang w:eastAsia="en-CA"/>
        </w:rPr>
      </w:pPr>
      <w:hyperlink r:id="rId20" w:tgtFrame="table" w:history="1">
        <w:r w:rsidRPr="007431AB">
          <w:rPr>
            <w:rFonts w:ascii="Times New Roman" w:eastAsia="Times New Roman" w:hAnsi="Times New Roman" w:cs="Times New Roman"/>
            <w:color w:val="642A8F"/>
            <w:sz w:val="24"/>
            <w:szCs w:val="24"/>
            <w:u w:val="single"/>
            <w:lang w:eastAsia="en-CA"/>
          </w:rPr>
          <w:t>Table 1.</w:t>
        </w:r>
      </w:hyperlink>
    </w:p>
    <w:p w14:paraId="7893213F" w14:textId="77777777" w:rsidR="007431AB" w:rsidRPr="007431AB" w:rsidRDefault="007431AB" w:rsidP="007431AB">
      <w:pPr>
        <w:spacing w:after="0" w:line="240" w:lineRule="auto"/>
        <w:textAlignment w:val="top"/>
        <w:rPr>
          <w:rFonts w:ascii="Times New Roman" w:eastAsia="Times New Roman" w:hAnsi="Times New Roman" w:cs="Times New Roman"/>
          <w:color w:val="000000"/>
          <w:sz w:val="24"/>
          <w:szCs w:val="24"/>
          <w:lang w:eastAsia="en-CA"/>
        </w:rPr>
      </w:pPr>
    </w:p>
    <w:p w14:paraId="368093D2" w14:textId="77777777" w:rsidR="007431AB" w:rsidRPr="007431AB" w:rsidRDefault="007431AB" w:rsidP="007431AB">
      <w:pPr>
        <w:spacing w:line="240" w:lineRule="auto"/>
        <w:textAlignment w:val="top"/>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Fall-related healthcare consumption in older adults (≥65 years), United States, 2008.</w:t>
      </w:r>
    </w:p>
    <w:p w14:paraId="7DB3A86A"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proofErr w:type="gramStart"/>
      <w:r w:rsidRPr="007431AB">
        <w:rPr>
          <w:rFonts w:ascii="Times New Roman" w:eastAsia="Times New Roman" w:hAnsi="Times New Roman" w:cs="Times New Roman"/>
          <w:color w:val="000000"/>
          <w:sz w:val="24"/>
          <w:szCs w:val="24"/>
          <w:lang w:eastAsia="en-CA"/>
        </w:rPr>
        <w:t>The majority of</w:t>
      </w:r>
      <w:proofErr w:type="gramEnd"/>
      <w:r w:rsidRPr="007431AB">
        <w:rPr>
          <w:rFonts w:ascii="Times New Roman" w:eastAsia="Times New Roman" w:hAnsi="Times New Roman" w:cs="Times New Roman"/>
          <w:color w:val="000000"/>
          <w:sz w:val="24"/>
          <w:szCs w:val="24"/>
          <w:lang w:eastAsia="en-CA"/>
        </w:rPr>
        <w:t xml:space="preserve"> falls result in minor injuries, such as bruises and superficial injuries, and require no medical attention or are fully treated in the primary care setting. In approximately one-tenth of all falls medical treatment in an emergency department (ED) is required. The most common injuries seen in the ED after a fall are fractures (59.6%), superficial injuries (20.9%) and head injuries (8.7%)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three most frequently diagnosed fractures are fractures of the hip (27.5%), wrist (19.8%) and upper arm (7.2%)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In about a third of all patients presenting at the ED, hospitalization is required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In the United States, 559,355 people aged 65 years and older are admitted every year due to an injurious fall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2011a</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hospitalization rates, expressed per 1000 older people, are comparable to those of other countries: 14.1 in The Netherlands, 14.0 in Finland and 14.4 in the United States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2010b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21" w:anchor="bibr18-2042098613486829" w:history="1">
        <w:r w:rsidRPr="007431AB">
          <w:rPr>
            <w:rFonts w:ascii="Times New Roman" w:eastAsia="Times New Roman" w:hAnsi="Times New Roman" w:cs="Times New Roman"/>
            <w:color w:val="642A8F"/>
            <w:sz w:val="24"/>
            <w:szCs w:val="24"/>
            <w:u w:val="single"/>
            <w:lang w:eastAsia="en-CA"/>
          </w:rPr>
          <w:t>2011a</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Kannus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reasons for admission include surgery, optimizing the general health situation, and sometimes to facilitate arranging suitable home care directly after the incident. In the United States (2008), over 12,900 older adults died as a result of an unintended fall [</w:t>
      </w:r>
      <w:hyperlink r:id="rId22" w:anchor="bibr8-2042098613486829" w:history="1">
        <w:r w:rsidRPr="007431AB">
          <w:rPr>
            <w:rFonts w:ascii="Times New Roman" w:eastAsia="Times New Roman" w:hAnsi="Times New Roman" w:cs="Times New Roman"/>
            <w:color w:val="642A8F"/>
            <w:sz w:val="24"/>
            <w:szCs w:val="24"/>
            <w:u w:val="single"/>
            <w:lang w:eastAsia="en-CA"/>
          </w:rPr>
          <w:t>Centers for Disease Control and Prevention, 2003</w:t>
        </w:r>
      </w:hyperlink>
      <w:r w:rsidRPr="007431AB">
        <w:rPr>
          <w:rFonts w:ascii="Times New Roman" w:eastAsia="Times New Roman" w:hAnsi="Times New Roman" w:cs="Times New Roman"/>
          <w:color w:val="000000"/>
          <w:sz w:val="24"/>
          <w:szCs w:val="24"/>
          <w:lang w:eastAsia="en-CA"/>
        </w:rPr>
        <w:t>] The World Health Organization estimated that, worldwide, approximately 392,000 people died due to an unintended fall in 2004 [</w:t>
      </w:r>
      <w:hyperlink r:id="rId23" w:anchor="bibr56-2042098613486829" w:history="1">
        <w:r w:rsidRPr="007431AB">
          <w:rPr>
            <w:rFonts w:ascii="Times New Roman" w:eastAsia="Times New Roman" w:hAnsi="Times New Roman" w:cs="Times New Roman"/>
            <w:color w:val="642A8F"/>
            <w:sz w:val="24"/>
            <w:szCs w:val="24"/>
            <w:u w:val="single"/>
            <w:lang w:eastAsia="en-CA"/>
          </w:rPr>
          <w:t>World Health Organization, 2004</w:t>
        </w:r>
      </w:hyperlink>
      <w:r w:rsidRPr="007431AB">
        <w:rPr>
          <w:rFonts w:ascii="Times New Roman" w:eastAsia="Times New Roman" w:hAnsi="Times New Roman" w:cs="Times New Roman"/>
          <w:color w:val="000000"/>
          <w:sz w:val="24"/>
          <w:szCs w:val="24"/>
          <w:lang w:eastAsia="en-CA"/>
        </w:rPr>
        <w:t>].</w:t>
      </w:r>
    </w:p>
    <w:p w14:paraId="7050F57F"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The total healthcare costs spent on falls are high, partly due to the high incidence of falls, but also because of the high costs per incident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"bibr17-2042098613486829"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2012</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"bibr45-2042098613486829"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Scuffham</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2003</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direct healthcare costs per patient with a hip fracture exceeds €20,000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"bibr17-2042098613486829"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2012</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total healthcare costs on falls (fatal and nonfatal) in the United States in 2000 were US$19.2 billion [</w:t>
      </w:r>
      <w:hyperlink r:id="rId24" w:anchor="bibr50-2042098613486829" w:history="1">
        <w:r w:rsidRPr="007431AB">
          <w:rPr>
            <w:rFonts w:ascii="Times New Roman" w:eastAsia="Times New Roman" w:hAnsi="Times New Roman" w:cs="Times New Roman"/>
            <w:color w:val="642A8F"/>
            <w:sz w:val="24"/>
            <w:szCs w:val="24"/>
            <w:u w:val="single"/>
            <w:lang w:eastAsia="en-CA"/>
          </w:rPr>
          <w:t>Stevens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2006</w:t>
        </w:r>
      </w:hyperlink>
      <w:r w:rsidRPr="007431AB">
        <w:rPr>
          <w:rFonts w:ascii="Times New Roman" w:eastAsia="Times New Roman" w:hAnsi="Times New Roman" w:cs="Times New Roman"/>
          <w:color w:val="000000"/>
          <w:sz w:val="24"/>
          <w:szCs w:val="24"/>
          <w:lang w:eastAsia="en-CA"/>
        </w:rPr>
        <w:t>]. Fractures are the most expensive type of injury, accounting for 61% of costs [</w:t>
      </w:r>
      <w:hyperlink r:id="rId25" w:anchor="bibr50-2042098613486829" w:history="1">
        <w:r w:rsidRPr="007431AB">
          <w:rPr>
            <w:rFonts w:ascii="Times New Roman" w:eastAsia="Times New Roman" w:hAnsi="Times New Roman" w:cs="Times New Roman"/>
            <w:color w:val="642A8F"/>
            <w:sz w:val="24"/>
            <w:szCs w:val="24"/>
            <w:u w:val="single"/>
            <w:lang w:eastAsia="en-CA"/>
          </w:rPr>
          <w:t>Stevens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2006</w:t>
        </w:r>
      </w:hyperlink>
      <w:r w:rsidRPr="007431AB">
        <w:rPr>
          <w:rFonts w:ascii="Times New Roman" w:eastAsia="Times New Roman" w:hAnsi="Times New Roman" w:cs="Times New Roman"/>
          <w:color w:val="000000"/>
          <w:sz w:val="24"/>
          <w:szCs w:val="24"/>
          <w:lang w:eastAsia="en-CA"/>
        </w:rPr>
        <w:t>]. A systematic review by Heinrich and colleagues analyzed all fall-related injuries in people aged 60 years and older in several countries. The authors estimated that the national fall-related healthcare costs were between 0.85% and 1.5% of the total healthcare expenditures, which corresponded to 0.07–0.20% of the gross domestic product [</w:t>
      </w:r>
      <w:hyperlink r:id="rId26" w:anchor="bibr25-2042098613486829" w:history="1">
        <w:r w:rsidRPr="007431AB">
          <w:rPr>
            <w:rFonts w:ascii="Times New Roman" w:eastAsia="Times New Roman" w:hAnsi="Times New Roman" w:cs="Times New Roman"/>
            <w:color w:val="642A8F"/>
            <w:sz w:val="24"/>
            <w:szCs w:val="24"/>
            <w:u w:val="single"/>
            <w:lang w:eastAsia="en-CA"/>
          </w:rPr>
          <w:t>Heinrich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2009</w:t>
        </w:r>
      </w:hyperlink>
      <w:r w:rsidRPr="007431AB">
        <w:rPr>
          <w:rFonts w:ascii="Times New Roman" w:eastAsia="Times New Roman" w:hAnsi="Times New Roman" w:cs="Times New Roman"/>
          <w:color w:val="000000"/>
          <w:sz w:val="24"/>
          <w:szCs w:val="24"/>
          <w:lang w:eastAsia="en-CA"/>
        </w:rPr>
        <w:t>].</w:t>
      </w:r>
    </w:p>
    <w:p w14:paraId="6CE7073D"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Besides the large burden of healthcare consumption and costs, falls may have a major impact on the individual patient. Patients seen in the ED after a fall reported a reduction in their quality of life (QoL) up to 9 months after the fall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Admitted patients reported problems with ‘mobility’ (70%), ‘self care’ (41%), ‘usual activities’ (64%) and ‘anxiety/depression’ (28%) up to 9 months after the fall. </w:t>
      </w:r>
      <w:proofErr w:type="spellStart"/>
      <w:r w:rsidRPr="007431AB">
        <w:rPr>
          <w:rFonts w:ascii="Times New Roman" w:eastAsia="Times New Roman" w:hAnsi="Times New Roman" w:cs="Times New Roman"/>
          <w:color w:val="000000"/>
          <w:sz w:val="24"/>
          <w:szCs w:val="24"/>
          <w:lang w:eastAsia="en-CA"/>
        </w:rPr>
        <w:t>Nonadmitted</w:t>
      </w:r>
      <w:proofErr w:type="spellEnd"/>
      <w:r w:rsidRPr="007431AB">
        <w:rPr>
          <w:rFonts w:ascii="Times New Roman" w:eastAsia="Times New Roman" w:hAnsi="Times New Roman" w:cs="Times New Roman"/>
          <w:color w:val="000000"/>
          <w:sz w:val="24"/>
          <w:szCs w:val="24"/>
          <w:lang w:eastAsia="en-CA"/>
        </w:rPr>
        <w:t xml:space="preserve"> patients mainly reported problems with ‘self care’ (22%) and ‘usual activities’ (41%)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Furthermore, a fall may generate fear of falling. Studies have shown that fear of falling is associated with negative health effects, including recurrent falls, reduced physical activity, restriction or avoidance of social activities, depression and a reduction in self-reported QoL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"bibr44-2042098613486829"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Scheffer</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760DA3F8"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27" w:tooltip="Go to other sections in this page" w:history="1">
        <w:r w:rsidRPr="007431AB">
          <w:rPr>
            <w:rFonts w:ascii="Arial" w:eastAsia="Times New Roman" w:hAnsi="Arial" w:cs="Arial"/>
            <w:color w:val="642A8F"/>
            <w:sz w:val="24"/>
            <w:szCs w:val="24"/>
            <w:u w:val="single"/>
            <w:lang w:eastAsia="en-CA"/>
          </w:rPr>
          <w:t>Go to:</w:t>
        </w:r>
      </w:hyperlink>
    </w:p>
    <w:p w14:paraId="04586832"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Risk factors</w:t>
      </w:r>
    </w:p>
    <w:p w14:paraId="4EA1E675"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Because of the possible severe consequences of a low-energetic fall, prevention of falls has become a major topic. To create an effective falls prevention programme, risk factors should be </w:t>
      </w:r>
      <w:r w:rsidRPr="007431AB">
        <w:rPr>
          <w:rFonts w:ascii="Times New Roman" w:eastAsia="Times New Roman" w:hAnsi="Times New Roman" w:cs="Times New Roman"/>
          <w:color w:val="000000"/>
          <w:sz w:val="24"/>
          <w:szCs w:val="24"/>
          <w:lang w:eastAsia="en-CA"/>
        </w:rPr>
        <w:lastRenderedPageBreak/>
        <w:t>identified. Numerous studies have been performed over the last decades on falls and risk factors [</w:t>
      </w:r>
      <w:hyperlink r:id="rId28" w:anchor="bibr10-2042098613486829" w:history="1">
        <w:r w:rsidRPr="007431AB">
          <w:rPr>
            <w:rFonts w:ascii="Times New Roman" w:eastAsia="Times New Roman" w:hAnsi="Times New Roman" w:cs="Times New Roman"/>
            <w:color w:val="642A8F"/>
            <w:sz w:val="24"/>
            <w:szCs w:val="24"/>
            <w:u w:val="single"/>
            <w:lang w:eastAsia="en-CA"/>
          </w:rPr>
          <w:t>de Vries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w:t>
        </w:r>
      </w:hyperlink>
      <w:r w:rsidRPr="007431AB">
        <w:rPr>
          <w:rFonts w:ascii="Times New Roman" w:eastAsia="Times New Roman" w:hAnsi="Times New Roman" w:cs="Times New Roman"/>
          <w:color w:val="000000"/>
          <w:sz w:val="24"/>
          <w:szCs w:val="24"/>
          <w:lang w:eastAsia="en-CA"/>
        </w:rPr>
        <w:t>; </w:t>
      </w:r>
      <w:hyperlink r:id="rId29" w:anchor="bibr12-2042098613486829" w:history="1">
        <w:r w:rsidRPr="007431AB">
          <w:rPr>
            <w:rFonts w:ascii="Times New Roman" w:eastAsia="Times New Roman" w:hAnsi="Times New Roman" w:cs="Times New Roman"/>
            <w:color w:val="642A8F"/>
            <w:sz w:val="24"/>
            <w:szCs w:val="24"/>
            <w:u w:val="single"/>
            <w:lang w:eastAsia="en-CA"/>
          </w:rPr>
          <w:t>Gillespie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2001</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"bibr22-2042098613486829"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2011c</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30" w:anchor="bibr54-2042098613486829" w:history="1">
        <w:r w:rsidRPr="007431AB">
          <w:rPr>
            <w:rFonts w:ascii="Times New Roman" w:eastAsia="Times New Roman" w:hAnsi="Times New Roman" w:cs="Times New Roman"/>
            <w:color w:val="642A8F"/>
            <w:sz w:val="24"/>
            <w:szCs w:val="24"/>
            <w:u w:val="single"/>
            <w:lang w:eastAsia="en-CA"/>
          </w:rPr>
          <w:t>van der Velde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hyperlink>
      <w:r w:rsidRPr="007431AB">
        <w:rPr>
          <w:rFonts w:ascii="Times New Roman" w:eastAsia="Times New Roman" w:hAnsi="Times New Roman" w:cs="Times New Roman"/>
          <w:color w:val="000000"/>
          <w:sz w:val="24"/>
          <w:szCs w:val="24"/>
          <w:lang w:eastAsia="en-CA"/>
        </w:rPr>
        <w:t>]. By now, over 20 risk factors for recurrent falls among older adults have been identified (</w:t>
      </w:r>
      <w:hyperlink r:id="rId31" w:tgtFrame="true" w:history="1">
        <w:r w:rsidRPr="007431AB">
          <w:rPr>
            <w:rFonts w:ascii="Times New Roman" w:eastAsia="Times New Roman" w:hAnsi="Times New Roman" w:cs="Times New Roman"/>
            <w:color w:val="642A8F"/>
            <w:sz w:val="24"/>
            <w:szCs w:val="24"/>
            <w:u w:val="single"/>
            <w:lang w:eastAsia="en-CA"/>
          </w:rPr>
          <w:t>Box 1</w:t>
        </w:r>
      </w:hyperlink>
      <w:r w:rsidRPr="007431AB">
        <w:rPr>
          <w:rFonts w:ascii="Times New Roman" w:eastAsia="Times New Roman" w:hAnsi="Times New Roman" w:cs="Times New Roman"/>
          <w:color w:val="000000"/>
          <w:sz w:val="24"/>
          <w:szCs w:val="24"/>
          <w:lang w:eastAsia="en-CA"/>
        </w:rPr>
        <w:t>). Although some falls in the older population have a single cause, the majority have a multifactorial aetiology. Risk factors can be categorized as intrinsic (e.g. impairment in balance, gait or vision) [</w:t>
      </w:r>
      <w:hyperlink r:id="rId32" w:anchor="bibr35-2042098613486829" w:history="1">
        <w:r w:rsidRPr="007431AB">
          <w:rPr>
            <w:rFonts w:ascii="Times New Roman" w:eastAsia="Times New Roman" w:hAnsi="Times New Roman" w:cs="Times New Roman"/>
            <w:color w:val="642A8F"/>
            <w:sz w:val="24"/>
            <w:szCs w:val="24"/>
            <w:u w:val="single"/>
            <w:lang w:eastAsia="en-CA"/>
          </w:rPr>
          <w:t>Nevitt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1989</w:t>
        </w:r>
      </w:hyperlink>
      <w:r w:rsidRPr="007431AB">
        <w:rPr>
          <w:rFonts w:ascii="Times New Roman" w:eastAsia="Times New Roman" w:hAnsi="Times New Roman" w:cs="Times New Roman"/>
          <w:color w:val="000000"/>
          <w:sz w:val="24"/>
          <w:szCs w:val="24"/>
          <w:lang w:eastAsia="en-CA"/>
        </w:rPr>
        <w:t>] and extrinsic factors (e.g. improper use of assistive devices, slippery flooring, poor light, or carpets).</w:t>
      </w:r>
    </w:p>
    <w:p w14:paraId="3412FB5C" w14:textId="77777777" w:rsidR="007431AB" w:rsidRPr="007431AB" w:rsidRDefault="007431AB" w:rsidP="007431AB">
      <w:pPr>
        <w:spacing w:after="0"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noProof/>
          <w:color w:val="642A8F"/>
          <w:sz w:val="24"/>
          <w:szCs w:val="24"/>
          <w:lang w:eastAsia="en-CA"/>
        </w:rPr>
        <w:drawing>
          <wp:inline distT="0" distB="0" distL="0" distR="0" wp14:anchorId="342DDAB1" wp14:editId="5E2B82DA">
            <wp:extent cx="1943100" cy="1323975"/>
            <wp:effectExtent l="0" t="0" r="0" b="9525"/>
            <wp:docPr id="3" name="Picture 3" descr="Box 1.">
              <a:hlinkClick xmlns:a="http://schemas.openxmlformats.org/drawingml/2006/main" r:id="rId31"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 1.">
                      <a:hlinkClick r:id="rId31" tgtFrame="&quot;tab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14:paraId="5741BEA1" w14:textId="77777777" w:rsidR="007431AB" w:rsidRPr="007431AB" w:rsidRDefault="007431AB" w:rsidP="007431AB">
      <w:pPr>
        <w:spacing w:after="0" w:line="240" w:lineRule="auto"/>
        <w:textAlignment w:val="top"/>
        <w:rPr>
          <w:rFonts w:ascii="Times New Roman" w:eastAsia="Times New Roman" w:hAnsi="Times New Roman" w:cs="Times New Roman"/>
          <w:color w:val="000000"/>
          <w:sz w:val="24"/>
          <w:szCs w:val="24"/>
          <w:lang w:eastAsia="en-CA"/>
        </w:rPr>
      </w:pPr>
      <w:hyperlink r:id="rId34" w:tgtFrame="table" w:history="1">
        <w:r w:rsidRPr="007431AB">
          <w:rPr>
            <w:rFonts w:ascii="Times New Roman" w:eastAsia="Times New Roman" w:hAnsi="Times New Roman" w:cs="Times New Roman"/>
            <w:color w:val="642A8F"/>
            <w:sz w:val="24"/>
            <w:szCs w:val="24"/>
            <w:u w:val="single"/>
            <w:lang w:eastAsia="en-CA"/>
          </w:rPr>
          <w:t>Box 1.</w:t>
        </w:r>
      </w:hyperlink>
    </w:p>
    <w:p w14:paraId="103B07E6" w14:textId="77777777" w:rsidR="007431AB" w:rsidRPr="007431AB" w:rsidRDefault="007431AB" w:rsidP="007431AB">
      <w:pPr>
        <w:spacing w:line="240" w:lineRule="auto"/>
        <w:textAlignment w:val="top"/>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List of major risk factors for recurrent falls (at least two falls).</w:t>
      </w:r>
    </w:p>
    <w:p w14:paraId="43AABB20"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Major risk factors include history of one or more previous falls, mobility impairments, cognitive impairment, use of fall-risk increasing drugs and old age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"bibr13-2042098613486829"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Graafmans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1996</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35" w:tgtFrame="true" w:history="1">
        <w:r w:rsidRPr="007431AB">
          <w:rPr>
            <w:rFonts w:ascii="Times New Roman" w:eastAsia="Times New Roman" w:hAnsi="Times New Roman" w:cs="Times New Roman"/>
            <w:color w:val="642A8F"/>
            <w:sz w:val="24"/>
            <w:szCs w:val="24"/>
            <w:u w:val="single"/>
            <w:lang w:eastAsia="en-CA"/>
          </w:rPr>
          <w:t>Box 1</w:t>
        </w:r>
      </w:hyperlink>
      <w:r w:rsidRPr="007431AB">
        <w:rPr>
          <w:rFonts w:ascii="Times New Roman" w:eastAsia="Times New Roman" w:hAnsi="Times New Roman" w:cs="Times New Roman"/>
          <w:color w:val="000000"/>
          <w:sz w:val="24"/>
          <w:szCs w:val="24"/>
          <w:lang w:eastAsia="en-CA"/>
        </w:rPr>
        <w:t xml:space="preserve"> summarizes the most frequent risk factors for recurrent falls (at least two falls annually). Recently, </w:t>
      </w: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and colleagues showed that people aged 65 years or older who visited the ED due to a fall had a mean age of 78.8 years and were mostly women (76%)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2011b</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Older adults are also at increased risk of serious injuries, even after a relatively minor trauma such as a fall, because of the number and severity of comorbidities, which makes this age group more vulnerable to fractures and head injuries [</w:t>
      </w:r>
      <w:hyperlink r:id="rId36" w:anchor="bibr37-2042098613486829" w:history="1">
        <w:r w:rsidRPr="007431AB">
          <w:rPr>
            <w:rFonts w:ascii="Times New Roman" w:eastAsia="Times New Roman" w:hAnsi="Times New Roman" w:cs="Times New Roman"/>
            <w:color w:val="642A8F"/>
            <w:sz w:val="24"/>
            <w:szCs w:val="24"/>
            <w:u w:val="single"/>
            <w:lang w:eastAsia="en-CA"/>
          </w:rPr>
          <w:t>O’Neill and Roy, 2005</w:t>
        </w:r>
      </w:hyperlink>
      <w:r w:rsidRPr="007431AB">
        <w:rPr>
          <w:rFonts w:ascii="Times New Roman" w:eastAsia="Times New Roman" w:hAnsi="Times New Roman" w:cs="Times New Roman"/>
          <w:color w:val="000000"/>
          <w:sz w:val="24"/>
          <w:szCs w:val="24"/>
          <w:lang w:eastAsia="en-CA"/>
        </w:rPr>
        <w:t>]. Compared with men, women are more likely to fall and are more prone to related injuries. Why women are at increased risk of falls is not clear yet.</w:t>
      </w:r>
    </w:p>
    <w:p w14:paraId="07D999CA"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37" w:tooltip="Go to other sections in this page" w:history="1">
        <w:r w:rsidRPr="007431AB">
          <w:rPr>
            <w:rFonts w:ascii="Arial" w:eastAsia="Times New Roman" w:hAnsi="Arial" w:cs="Arial"/>
            <w:color w:val="642A8F"/>
            <w:sz w:val="24"/>
            <w:szCs w:val="24"/>
            <w:u w:val="single"/>
            <w:lang w:eastAsia="en-CA"/>
          </w:rPr>
          <w:t>Go to:</w:t>
        </w:r>
      </w:hyperlink>
    </w:p>
    <w:p w14:paraId="41ED81B8"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Drugs and falls</w:t>
      </w:r>
    </w:p>
    <w:p w14:paraId="4F96578B"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Drug use among the older population has increased in the past decades. The majority (72%) of people aged at least 55 years use at least one drug. In this age group, 20.3% are taking four or more drugs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"bibr58-2042098613486829"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Ziere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2006</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Consequently, adverse drug reactions (ADRs) may occur, resulting in significant morbidity and mortality. Two-thirds of all ADR-related hospitalizations occur in the over 60 age group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"bibr20-2042098613486829"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Hartholt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2010a</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Recent studies have shown that ADR-related hospital admissions are increasing in western societies [</w:t>
      </w:r>
      <w:hyperlink r:id="rId38" w:anchor="bibr39-2042098613486829" w:history="1">
        <w:r w:rsidRPr="007431AB">
          <w:rPr>
            <w:rFonts w:ascii="Times New Roman" w:eastAsia="Times New Roman" w:hAnsi="Times New Roman" w:cs="Times New Roman"/>
            <w:color w:val="642A8F"/>
            <w:sz w:val="24"/>
            <w:szCs w:val="24"/>
            <w:u w:val="single"/>
            <w:lang w:eastAsia="en-CA"/>
          </w:rPr>
          <w:t>Patel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hyperlink>
      <w:r w:rsidRPr="007431AB">
        <w:rPr>
          <w:rFonts w:ascii="Times New Roman" w:eastAsia="Times New Roman" w:hAnsi="Times New Roman" w:cs="Times New Roman"/>
          <w:color w:val="000000"/>
          <w:sz w:val="24"/>
          <w:szCs w:val="24"/>
          <w:lang w:eastAsia="en-CA"/>
        </w:rPr>
        <w:t>]. ADR-related hospitalizations account for approximately 3.4–16.6% of all hospital admissions in older people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Beijer</w:t>
      </w:r>
      <w:proofErr w:type="spellEnd"/>
      <w:r w:rsidRPr="007431AB">
        <w:rPr>
          <w:rFonts w:ascii="Times New Roman" w:eastAsia="Times New Roman" w:hAnsi="Times New Roman" w:cs="Times New Roman"/>
          <w:color w:val="642A8F"/>
          <w:sz w:val="24"/>
          <w:szCs w:val="24"/>
          <w:u w:val="single"/>
          <w:lang w:eastAsia="en-CA"/>
        </w:rPr>
        <w:t xml:space="preserve"> and de </w:t>
      </w:r>
      <w:proofErr w:type="spellStart"/>
      <w:r w:rsidRPr="007431AB">
        <w:rPr>
          <w:rFonts w:ascii="Times New Roman" w:eastAsia="Times New Roman" w:hAnsi="Times New Roman" w:cs="Times New Roman"/>
          <w:color w:val="642A8F"/>
          <w:sz w:val="24"/>
          <w:szCs w:val="24"/>
          <w:u w:val="single"/>
          <w:lang w:eastAsia="en-CA"/>
        </w:rPr>
        <w:t>Blaey</w:t>
      </w:r>
      <w:proofErr w:type="spellEnd"/>
      <w:r w:rsidRPr="007431AB">
        <w:rPr>
          <w:rFonts w:ascii="Times New Roman" w:eastAsia="Times New Roman" w:hAnsi="Times New Roman" w:cs="Times New Roman"/>
          <w:color w:val="642A8F"/>
          <w:sz w:val="24"/>
          <w:szCs w:val="24"/>
          <w:u w:val="single"/>
          <w:lang w:eastAsia="en-CA"/>
        </w:rPr>
        <w:t>, 2002</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Onder</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2002</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with a high in-hospital mortality rate of 8–10% [</w:t>
      </w:r>
      <w:hyperlink r:id="rId39" w:anchor="bibr53-2042098613486829" w:history="1">
        <w:r w:rsidRPr="007431AB">
          <w:rPr>
            <w:rFonts w:ascii="Times New Roman" w:eastAsia="Times New Roman" w:hAnsi="Times New Roman" w:cs="Times New Roman"/>
            <w:color w:val="642A8F"/>
            <w:sz w:val="24"/>
            <w:szCs w:val="24"/>
            <w:u w:val="single"/>
            <w:lang w:eastAsia="en-CA"/>
          </w:rPr>
          <w:t xml:space="preserve">van der </w:t>
        </w:r>
        <w:proofErr w:type="spellStart"/>
        <w:r w:rsidRPr="007431AB">
          <w:rPr>
            <w:rFonts w:ascii="Times New Roman" w:eastAsia="Times New Roman" w:hAnsi="Times New Roman" w:cs="Times New Roman"/>
            <w:color w:val="642A8F"/>
            <w:sz w:val="24"/>
            <w:szCs w:val="24"/>
            <w:u w:val="single"/>
            <w:lang w:eastAsia="en-CA"/>
          </w:rPr>
          <w:t>Hooft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2006</w:t>
        </w:r>
      </w:hyperlink>
      <w:r w:rsidRPr="007431AB">
        <w:rPr>
          <w:rFonts w:ascii="Times New Roman" w:eastAsia="Times New Roman" w:hAnsi="Times New Roman" w:cs="Times New Roman"/>
          <w:color w:val="000000"/>
          <w:sz w:val="24"/>
          <w:szCs w:val="24"/>
          <w:lang w:eastAsia="en-CA"/>
        </w:rPr>
        <w:t>]. Older people in particular are at increased risk of developing an ADR due to their social setting [</w:t>
      </w:r>
      <w:hyperlink r:id="rId40" w:anchor="bibr1-2042098613486829" w:history="1">
        <w:r w:rsidRPr="007431AB">
          <w:rPr>
            <w:rFonts w:ascii="Times New Roman" w:eastAsia="Times New Roman" w:hAnsi="Times New Roman" w:cs="Times New Roman"/>
            <w:color w:val="642A8F"/>
            <w:sz w:val="24"/>
            <w:szCs w:val="24"/>
            <w:u w:val="single"/>
            <w:lang w:eastAsia="en-CA"/>
          </w:rPr>
          <w:t>Barat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2001</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Leendertse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polypharmacy [</w:t>
      </w:r>
      <w:hyperlink r:id="rId41" w:anchor="bibr1-2042098613486829" w:history="1">
        <w:r w:rsidRPr="007431AB">
          <w:rPr>
            <w:rFonts w:ascii="Times New Roman" w:eastAsia="Times New Roman" w:hAnsi="Times New Roman" w:cs="Times New Roman"/>
            <w:color w:val="642A8F"/>
            <w:sz w:val="24"/>
            <w:szCs w:val="24"/>
            <w:u w:val="single"/>
            <w:lang w:eastAsia="en-CA"/>
          </w:rPr>
          <w:t>Barat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2001</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Budnitz</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Fialova</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2005</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Leendertse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comorbidities,[</w:t>
      </w:r>
      <w:hyperlink r:id="rId42" w:anchor="bibr57-2042098613486829" w:history="1">
        <w:r w:rsidRPr="007431AB">
          <w:rPr>
            <w:rFonts w:ascii="Times New Roman" w:eastAsia="Times New Roman" w:hAnsi="Times New Roman" w:cs="Times New Roman"/>
            <w:color w:val="642A8F"/>
            <w:sz w:val="24"/>
            <w:szCs w:val="24"/>
            <w:u w:val="single"/>
            <w:lang w:eastAsia="en-CA"/>
          </w:rPr>
          <w:t>Zhang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2009</w:t>
        </w:r>
      </w:hyperlink>
      <w:r w:rsidRPr="007431AB">
        <w:rPr>
          <w:rFonts w:ascii="Times New Roman" w:eastAsia="Times New Roman" w:hAnsi="Times New Roman" w:cs="Times New Roman"/>
          <w:color w:val="000000"/>
          <w:sz w:val="24"/>
          <w:szCs w:val="24"/>
          <w:lang w:eastAsia="en-CA"/>
        </w:rPr>
        <w:t>], cognitive impairment [</w:t>
      </w:r>
      <w:hyperlink r:id="rId43" w:anchor="bibr1-2042098613486829" w:history="1">
        <w:r w:rsidRPr="007431AB">
          <w:rPr>
            <w:rFonts w:ascii="Times New Roman" w:eastAsia="Times New Roman" w:hAnsi="Times New Roman" w:cs="Times New Roman"/>
            <w:color w:val="642A8F"/>
            <w:sz w:val="24"/>
            <w:szCs w:val="24"/>
            <w:u w:val="single"/>
            <w:lang w:eastAsia="en-CA"/>
          </w:rPr>
          <w:t>Barat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2001</w:t>
        </w:r>
      </w:hyperlink>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"bibr11-2042098613486829"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Fialova</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2005</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and physiological changes affecting the pharmacokinetics and pharmacodynamics of many drugs </w:t>
      </w:r>
      <w:r w:rsidRPr="007431AB">
        <w:rPr>
          <w:rFonts w:ascii="Times New Roman" w:eastAsia="Times New Roman" w:hAnsi="Times New Roman" w:cs="Times New Roman"/>
          <w:color w:val="000000"/>
          <w:sz w:val="24"/>
          <w:szCs w:val="24"/>
          <w:lang w:eastAsia="en-CA"/>
        </w:rPr>
        <w:lastRenderedPageBreak/>
        <w:t>[</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Leendertse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"bibr46-2042098613486829"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Spinewine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exact number of falls caused by drugs or drug intoxication is not known because falls are not officially recognized as an ADR.</w:t>
      </w:r>
    </w:p>
    <w:p w14:paraId="55A95852"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Several types of drugs are associated with a significant risk of falls, the so-called ‘fall risk increasing drugs’. In 1999 Leipzig and colleagues published a meta-analysis of observational studies that assessed the association between falls and the use of psychotropic, cardiac and analgesic drugs in the older population [</w:t>
      </w:r>
      <w:hyperlink r:id="rId44" w:anchor="bibr32-2042098613486829" w:history="1">
        <w:r w:rsidRPr="007431AB">
          <w:rPr>
            <w:rFonts w:ascii="Times New Roman" w:eastAsia="Times New Roman" w:hAnsi="Times New Roman" w:cs="Times New Roman"/>
            <w:color w:val="642A8F"/>
            <w:sz w:val="24"/>
            <w:szCs w:val="24"/>
            <w:u w:val="single"/>
            <w:lang w:eastAsia="en-CA"/>
          </w:rPr>
          <w:t>Leipzig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1999a</w:t>
        </w:r>
      </w:hyperlink>
      <w:r w:rsidRPr="007431AB">
        <w:rPr>
          <w:rFonts w:ascii="Times New Roman" w:eastAsia="Times New Roman" w:hAnsi="Times New Roman" w:cs="Times New Roman"/>
          <w:color w:val="000000"/>
          <w:sz w:val="24"/>
          <w:szCs w:val="24"/>
          <w:lang w:eastAsia="en-CA"/>
        </w:rPr>
        <w:t>, </w:t>
      </w:r>
      <w:hyperlink r:id="rId45" w:anchor="bibr33-2042098613486829" w:history="1">
        <w:r w:rsidRPr="007431AB">
          <w:rPr>
            <w:rFonts w:ascii="Times New Roman" w:eastAsia="Times New Roman" w:hAnsi="Times New Roman" w:cs="Times New Roman"/>
            <w:color w:val="642A8F"/>
            <w:sz w:val="24"/>
            <w:szCs w:val="24"/>
            <w:u w:val="single"/>
            <w:lang w:eastAsia="en-CA"/>
          </w:rPr>
          <w:t>1999b</w:t>
        </w:r>
      </w:hyperlink>
      <w:r w:rsidRPr="007431AB">
        <w:rPr>
          <w:rFonts w:ascii="Times New Roman" w:eastAsia="Times New Roman" w:hAnsi="Times New Roman" w:cs="Times New Roman"/>
          <w:color w:val="000000"/>
          <w:sz w:val="24"/>
          <w:szCs w:val="24"/>
          <w:lang w:eastAsia="en-CA"/>
        </w:rPr>
        <w:t xml:space="preserve">]. In 2009, </w:t>
      </w:r>
      <w:proofErr w:type="spellStart"/>
      <w:r w:rsidRPr="007431AB">
        <w:rPr>
          <w:rFonts w:ascii="Times New Roman" w:eastAsia="Times New Roman" w:hAnsi="Times New Roman" w:cs="Times New Roman"/>
          <w:color w:val="000000"/>
          <w:sz w:val="24"/>
          <w:szCs w:val="24"/>
          <w:lang w:eastAsia="en-CA"/>
        </w:rPr>
        <w:t>Woolcott</w:t>
      </w:r>
      <w:proofErr w:type="spellEnd"/>
      <w:r w:rsidRPr="007431AB">
        <w:rPr>
          <w:rFonts w:ascii="Times New Roman" w:eastAsia="Times New Roman" w:hAnsi="Times New Roman" w:cs="Times New Roman"/>
          <w:color w:val="000000"/>
          <w:sz w:val="24"/>
          <w:szCs w:val="24"/>
          <w:lang w:eastAsia="en-CA"/>
        </w:rPr>
        <w:t xml:space="preserve"> and colleagues updated this meta-analysis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"bibr55-2042098613486829"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Woolcott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2009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w:t>
      </w:r>
      <w:hyperlink r:id="rId46" w:tgtFrame="true" w:history="1">
        <w:r w:rsidRPr="007431AB">
          <w:rPr>
            <w:rFonts w:ascii="Times New Roman" w:eastAsia="Times New Roman" w:hAnsi="Times New Roman" w:cs="Times New Roman"/>
            <w:color w:val="642A8F"/>
            <w:sz w:val="24"/>
            <w:szCs w:val="24"/>
            <w:u w:val="single"/>
            <w:lang w:eastAsia="en-CA"/>
          </w:rPr>
          <w:t>Table 2</w:t>
        </w:r>
      </w:hyperlink>
      <w:r w:rsidRPr="007431AB">
        <w:rPr>
          <w:rFonts w:ascii="Times New Roman" w:eastAsia="Times New Roman" w:hAnsi="Times New Roman" w:cs="Times New Roman"/>
          <w:color w:val="000000"/>
          <w:sz w:val="24"/>
          <w:szCs w:val="24"/>
          <w:lang w:eastAsia="en-CA"/>
        </w:rPr>
        <w:t> presents nine unique drug classes that were included in the analysis: antihypertensive agents, diuretics, β blockers, sedatives and hypnotics, neuroleptics and antipsychotics, antidepressants, benzodiazepines, narcotics and nonsteroidal anti-inflammatory drugs. The authors presented a significant association between falls and the use of sedatives and hypnotics, antidepressants and benzodiazepines. The use of antidepressants had the strongest association with falls. Other drug classes have also been associated with an increased fall risk. In studies which were considered to have good medication and falls ascertainment, an increased likelihood of falling was estimated with the use of neuroleptics and antipsychotics, and nonsteroidal anti-inflammatory drugs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"bibr55-2042098613486829"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Woolcott</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5CAE200C" w14:textId="6811E8EF" w:rsidR="007431AB" w:rsidRPr="007431AB" w:rsidRDefault="007431AB" w:rsidP="007431AB">
      <w:pPr>
        <w:spacing w:after="0" w:line="240" w:lineRule="auto"/>
        <w:rPr>
          <w:rFonts w:ascii="Times New Roman" w:eastAsia="Times New Roman" w:hAnsi="Times New Roman" w:cs="Times New Roman"/>
          <w:color w:val="000000"/>
          <w:sz w:val="24"/>
          <w:szCs w:val="24"/>
          <w:lang w:eastAsia="en-CA"/>
        </w:rPr>
      </w:pPr>
    </w:p>
    <w:p w14:paraId="1F105988" w14:textId="77777777" w:rsidR="007431AB" w:rsidRPr="007431AB" w:rsidRDefault="007431AB" w:rsidP="007431AB">
      <w:pPr>
        <w:spacing w:after="0" w:line="240" w:lineRule="auto"/>
        <w:textAlignment w:val="top"/>
        <w:rPr>
          <w:rFonts w:ascii="Times New Roman" w:eastAsia="Times New Roman" w:hAnsi="Times New Roman" w:cs="Times New Roman"/>
          <w:color w:val="000000"/>
          <w:sz w:val="24"/>
          <w:szCs w:val="24"/>
          <w:lang w:eastAsia="en-CA"/>
        </w:rPr>
      </w:pPr>
      <w:hyperlink r:id="rId47" w:tgtFrame="table" w:history="1">
        <w:r w:rsidRPr="007431AB">
          <w:rPr>
            <w:rFonts w:ascii="Times New Roman" w:eastAsia="Times New Roman" w:hAnsi="Times New Roman" w:cs="Times New Roman"/>
            <w:color w:val="642A8F"/>
            <w:sz w:val="24"/>
            <w:szCs w:val="24"/>
            <w:u w:val="single"/>
            <w:lang w:eastAsia="en-CA"/>
          </w:rPr>
          <w:t>Table 2.</w:t>
        </w:r>
      </w:hyperlink>
    </w:p>
    <w:p w14:paraId="514782D5" w14:textId="12220A6B" w:rsidR="007431AB" w:rsidRDefault="007431AB" w:rsidP="007431AB">
      <w:pPr>
        <w:spacing w:line="240" w:lineRule="auto"/>
        <w:textAlignment w:val="top"/>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 risk increasing drugs and odds ratios.</w:t>
      </w:r>
    </w:p>
    <w:p w14:paraId="1FF98CFD" w14:textId="77777777" w:rsidR="007431AB" w:rsidRPr="007431AB" w:rsidRDefault="007431AB" w:rsidP="007431AB">
      <w:pPr>
        <w:shd w:val="clear" w:color="auto" w:fill="FFFFFF"/>
        <w:spacing w:before="240" w:after="120" w:line="324" w:lineRule="atLeast"/>
        <w:outlineLvl w:val="0"/>
        <w:rPr>
          <w:rFonts w:ascii="Arial" w:eastAsia="Times New Roman" w:hAnsi="Arial" w:cs="Arial"/>
          <w:b/>
          <w:bCs/>
          <w:color w:val="000000"/>
          <w:kern w:val="36"/>
          <w:sz w:val="30"/>
          <w:szCs w:val="30"/>
          <w:lang w:eastAsia="en-CA"/>
        </w:rPr>
      </w:pPr>
      <w:r w:rsidRPr="007431AB">
        <w:rPr>
          <w:rFonts w:ascii="Arial" w:eastAsia="Times New Roman" w:hAnsi="Arial" w:cs="Arial"/>
          <w:b/>
          <w:bCs/>
          <w:color w:val="000000"/>
          <w:kern w:val="36"/>
          <w:sz w:val="30"/>
          <w:szCs w:val="30"/>
          <w:lang w:eastAsia="en-CA"/>
        </w:rPr>
        <w:t>Table 2.</w:t>
      </w:r>
    </w:p>
    <w:p w14:paraId="43A29B8E" w14:textId="77777777" w:rsidR="007431AB" w:rsidRPr="007431AB" w:rsidRDefault="007431AB" w:rsidP="007431AB">
      <w:pPr>
        <w:shd w:val="clear" w:color="auto" w:fill="FFFFFF"/>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 risk increasing drugs and odds ratios.</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225"/>
        <w:gridCol w:w="1109"/>
        <w:gridCol w:w="992"/>
      </w:tblGrid>
      <w:tr w:rsidR="007431AB" w:rsidRPr="007431AB" w14:paraId="2B2FDDC9" w14:textId="77777777" w:rsidTr="007431AB">
        <w:trPr>
          <w:tblHeader/>
        </w:trPr>
        <w:tc>
          <w:tcPr>
            <w:tcW w:w="0" w:type="auto"/>
            <w:tcBorders>
              <w:top w:val="nil"/>
              <w:left w:val="nil"/>
              <w:bottom w:val="nil"/>
              <w:right w:val="nil"/>
            </w:tcBorders>
            <w:tcMar>
              <w:top w:w="48" w:type="dxa"/>
              <w:left w:w="96" w:type="dxa"/>
              <w:bottom w:w="48" w:type="dxa"/>
              <w:right w:w="96" w:type="dxa"/>
            </w:tcMar>
            <w:hideMark/>
          </w:tcPr>
          <w:p w14:paraId="503661AA" w14:textId="77777777" w:rsidR="007431AB" w:rsidRPr="007431AB" w:rsidRDefault="007431AB" w:rsidP="007431AB">
            <w:pPr>
              <w:spacing w:after="0" w:line="393" w:lineRule="atLeast"/>
              <w:rPr>
                <w:rFonts w:ascii="Times New Roman" w:eastAsia="Times New Roman" w:hAnsi="Times New Roman" w:cs="Times New Roman"/>
                <w:b/>
                <w:bCs/>
                <w:sz w:val="20"/>
                <w:szCs w:val="20"/>
                <w:lang w:eastAsia="en-CA"/>
              </w:rPr>
            </w:pPr>
            <w:r w:rsidRPr="007431AB">
              <w:rPr>
                <w:rFonts w:ascii="Times New Roman" w:eastAsia="Times New Roman" w:hAnsi="Times New Roman" w:cs="Times New Roman"/>
                <w:b/>
                <w:bCs/>
                <w:sz w:val="20"/>
                <w:szCs w:val="20"/>
                <w:lang w:eastAsia="en-CA"/>
              </w:rPr>
              <w:t>Drug class</w:t>
            </w:r>
          </w:p>
        </w:tc>
        <w:tc>
          <w:tcPr>
            <w:tcW w:w="0" w:type="auto"/>
            <w:tcBorders>
              <w:top w:val="nil"/>
              <w:left w:val="nil"/>
              <w:bottom w:val="nil"/>
              <w:right w:val="nil"/>
            </w:tcBorders>
            <w:tcMar>
              <w:top w:w="48" w:type="dxa"/>
              <w:left w:w="96" w:type="dxa"/>
              <w:bottom w:w="48" w:type="dxa"/>
              <w:right w:w="96" w:type="dxa"/>
            </w:tcMar>
            <w:hideMark/>
          </w:tcPr>
          <w:p w14:paraId="514D90BF" w14:textId="77777777" w:rsidR="007431AB" w:rsidRPr="007431AB" w:rsidRDefault="007431AB" w:rsidP="007431AB">
            <w:pPr>
              <w:spacing w:after="0" w:line="393" w:lineRule="atLeast"/>
              <w:rPr>
                <w:rFonts w:ascii="Times New Roman" w:eastAsia="Times New Roman" w:hAnsi="Times New Roman" w:cs="Times New Roman"/>
                <w:b/>
                <w:bCs/>
                <w:sz w:val="20"/>
                <w:szCs w:val="20"/>
                <w:lang w:eastAsia="en-CA"/>
              </w:rPr>
            </w:pPr>
            <w:r w:rsidRPr="007431AB">
              <w:rPr>
                <w:rFonts w:ascii="Times New Roman" w:eastAsia="Times New Roman" w:hAnsi="Times New Roman" w:cs="Times New Roman"/>
                <w:b/>
                <w:bCs/>
                <w:sz w:val="20"/>
                <w:szCs w:val="20"/>
                <w:lang w:eastAsia="en-CA"/>
              </w:rPr>
              <w:t>Odds ratio</w:t>
            </w:r>
          </w:p>
        </w:tc>
        <w:tc>
          <w:tcPr>
            <w:tcW w:w="0" w:type="auto"/>
            <w:tcBorders>
              <w:top w:val="nil"/>
              <w:left w:val="nil"/>
              <w:bottom w:val="nil"/>
              <w:right w:val="nil"/>
            </w:tcBorders>
            <w:tcMar>
              <w:top w:w="48" w:type="dxa"/>
              <w:left w:w="96" w:type="dxa"/>
              <w:bottom w:w="48" w:type="dxa"/>
              <w:right w:w="96" w:type="dxa"/>
            </w:tcMar>
            <w:hideMark/>
          </w:tcPr>
          <w:p w14:paraId="27B6CEFF" w14:textId="77777777" w:rsidR="007431AB" w:rsidRPr="007431AB" w:rsidRDefault="007431AB" w:rsidP="007431AB">
            <w:pPr>
              <w:spacing w:after="0" w:line="393" w:lineRule="atLeast"/>
              <w:rPr>
                <w:rFonts w:ascii="Times New Roman" w:eastAsia="Times New Roman" w:hAnsi="Times New Roman" w:cs="Times New Roman"/>
                <w:b/>
                <w:bCs/>
                <w:sz w:val="20"/>
                <w:szCs w:val="20"/>
                <w:lang w:eastAsia="en-CA"/>
              </w:rPr>
            </w:pPr>
            <w:r w:rsidRPr="007431AB">
              <w:rPr>
                <w:rFonts w:ascii="Times New Roman" w:eastAsia="Times New Roman" w:hAnsi="Times New Roman" w:cs="Times New Roman"/>
                <w:b/>
                <w:bCs/>
                <w:sz w:val="20"/>
                <w:szCs w:val="20"/>
                <w:lang w:eastAsia="en-CA"/>
              </w:rPr>
              <w:t>95% CI</w:t>
            </w:r>
          </w:p>
        </w:tc>
      </w:tr>
      <w:tr w:rsidR="007431AB" w:rsidRPr="007431AB" w14:paraId="2388F77F" w14:textId="77777777" w:rsidTr="007431AB">
        <w:tc>
          <w:tcPr>
            <w:tcW w:w="0" w:type="auto"/>
            <w:tcBorders>
              <w:top w:val="nil"/>
              <w:left w:val="nil"/>
              <w:bottom w:val="nil"/>
              <w:right w:val="nil"/>
            </w:tcBorders>
            <w:tcMar>
              <w:top w:w="48" w:type="dxa"/>
              <w:left w:w="96" w:type="dxa"/>
              <w:bottom w:w="48" w:type="dxa"/>
              <w:right w:w="96" w:type="dxa"/>
            </w:tcMar>
            <w:hideMark/>
          </w:tcPr>
          <w:p w14:paraId="665C36FE"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Antihypertensive agents</w:t>
            </w:r>
          </w:p>
        </w:tc>
        <w:tc>
          <w:tcPr>
            <w:tcW w:w="0" w:type="auto"/>
            <w:tcBorders>
              <w:top w:val="nil"/>
              <w:left w:val="nil"/>
              <w:bottom w:val="nil"/>
              <w:right w:val="nil"/>
            </w:tcBorders>
            <w:tcMar>
              <w:top w:w="48" w:type="dxa"/>
              <w:left w:w="96" w:type="dxa"/>
              <w:bottom w:w="48" w:type="dxa"/>
              <w:right w:w="96" w:type="dxa"/>
            </w:tcMar>
            <w:hideMark/>
          </w:tcPr>
          <w:p w14:paraId="7AB69958"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1.24</w:t>
            </w:r>
          </w:p>
        </w:tc>
        <w:tc>
          <w:tcPr>
            <w:tcW w:w="0" w:type="auto"/>
            <w:tcBorders>
              <w:top w:val="nil"/>
              <w:left w:val="nil"/>
              <w:bottom w:val="nil"/>
              <w:right w:val="nil"/>
            </w:tcBorders>
            <w:tcMar>
              <w:top w:w="48" w:type="dxa"/>
              <w:left w:w="96" w:type="dxa"/>
              <w:bottom w:w="48" w:type="dxa"/>
              <w:right w:w="96" w:type="dxa"/>
            </w:tcMar>
            <w:hideMark/>
          </w:tcPr>
          <w:p w14:paraId="4A25B476"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1.01–1.50</w:t>
            </w:r>
          </w:p>
        </w:tc>
      </w:tr>
      <w:tr w:rsidR="007431AB" w:rsidRPr="007431AB" w14:paraId="5DF3869A" w14:textId="77777777" w:rsidTr="007431AB">
        <w:tc>
          <w:tcPr>
            <w:tcW w:w="0" w:type="auto"/>
            <w:tcBorders>
              <w:top w:val="nil"/>
              <w:left w:val="nil"/>
              <w:bottom w:val="nil"/>
              <w:right w:val="nil"/>
            </w:tcBorders>
            <w:tcMar>
              <w:top w:w="48" w:type="dxa"/>
              <w:left w:w="96" w:type="dxa"/>
              <w:bottom w:w="48" w:type="dxa"/>
              <w:right w:w="96" w:type="dxa"/>
            </w:tcMar>
            <w:hideMark/>
          </w:tcPr>
          <w:p w14:paraId="588B9ACD"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Diuretics</w:t>
            </w:r>
          </w:p>
        </w:tc>
        <w:tc>
          <w:tcPr>
            <w:tcW w:w="0" w:type="auto"/>
            <w:tcBorders>
              <w:top w:val="nil"/>
              <w:left w:val="nil"/>
              <w:bottom w:val="nil"/>
              <w:right w:val="nil"/>
            </w:tcBorders>
            <w:tcMar>
              <w:top w:w="48" w:type="dxa"/>
              <w:left w:w="96" w:type="dxa"/>
              <w:bottom w:w="48" w:type="dxa"/>
              <w:right w:w="96" w:type="dxa"/>
            </w:tcMar>
            <w:hideMark/>
          </w:tcPr>
          <w:p w14:paraId="7EBE983D"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1.07</w:t>
            </w:r>
          </w:p>
        </w:tc>
        <w:tc>
          <w:tcPr>
            <w:tcW w:w="0" w:type="auto"/>
            <w:tcBorders>
              <w:top w:val="nil"/>
              <w:left w:val="nil"/>
              <w:bottom w:val="nil"/>
              <w:right w:val="nil"/>
            </w:tcBorders>
            <w:tcMar>
              <w:top w:w="48" w:type="dxa"/>
              <w:left w:w="96" w:type="dxa"/>
              <w:bottom w:w="48" w:type="dxa"/>
              <w:right w:w="96" w:type="dxa"/>
            </w:tcMar>
            <w:hideMark/>
          </w:tcPr>
          <w:p w14:paraId="70E36055"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1.01–1.14</w:t>
            </w:r>
          </w:p>
        </w:tc>
      </w:tr>
      <w:tr w:rsidR="007431AB" w:rsidRPr="007431AB" w14:paraId="3C5AED59" w14:textId="77777777" w:rsidTr="007431AB">
        <w:tc>
          <w:tcPr>
            <w:tcW w:w="0" w:type="auto"/>
            <w:tcBorders>
              <w:top w:val="nil"/>
              <w:left w:val="nil"/>
              <w:bottom w:val="nil"/>
              <w:right w:val="nil"/>
            </w:tcBorders>
            <w:tcMar>
              <w:top w:w="48" w:type="dxa"/>
              <w:left w:w="96" w:type="dxa"/>
              <w:bottom w:w="48" w:type="dxa"/>
              <w:right w:w="96" w:type="dxa"/>
            </w:tcMar>
            <w:hideMark/>
          </w:tcPr>
          <w:p w14:paraId="627FA72C"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Β blockers</w:t>
            </w:r>
          </w:p>
        </w:tc>
        <w:tc>
          <w:tcPr>
            <w:tcW w:w="0" w:type="auto"/>
            <w:tcBorders>
              <w:top w:val="nil"/>
              <w:left w:val="nil"/>
              <w:bottom w:val="nil"/>
              <w:right w:val="nil"/>
            </w:tcBorders>
            <w:tcMar>
              <w:top w:w="48" w:type="dxa"/>
              <w:left w:w="96" w:type="dxa"/>
              <w:bottom w:w="48" w:type="dxa"/>
              <w:right w:w="96" w:type="dxa"/>
            </w:tcMar>
            <w:hideMark/>
          </w:tcPr>
          <w:p w14:paraId="563D2C08"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1.01</w:t>
            </w:r>
          </w:p>
        </w:tc>
        <w:tc>
          <w:tcPr>
            <w:tcW w:w="0" w:type="auto"/>
            <w:tcBorders>
              <w:top w:val="nil"/>
              <w:left w:val="nil"/>
              <w:bottom w:val="nil"/>
              <w:right w:val="nil"/>
            </w:tcBorders>
            <w:tcMar>
              <w:top w:w="48" w:type="dxa"/>
              <w:left w:w="96" w:type="dxa"/>
              <w:bottom w:w="48" w:type="dxa"/>
              <w:right w:w="96" w:type="dxa"/>
            </w:tcMar>
            <w:hideMark/>
          </w:tcPr>
          <w:p w14:paraId="03CF2213"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0.86–1.17</w:t>
            </w:r>
          </w:p>
        </w:tc>
      </w:tr>
      <w:tr w:rsidR="007431AB" w:rsidRPr="007431AB" w14:paraId="7649A834" w14:textId="77777777" w:rsidTr="007431AB">
        <w:tc>
          <w:tcPr>
            <w:tcW w:w="0" w:type="auto"/>
            <w:tcBorders>
              <w:top w:val="nil"/>
              <w:left w:val="nil"/>
              <w:bottom w:val="nil"/>
              <w:right w:val="nil"/>
            </w:tcBorders>
            <w:tcMar>
              <w:top w:w="48" w:type="dxa"/>
              <w:left w:w="96" w:type="dxa"/>
              <w:bottom w:w="48" w:type="dxa"/>
              <w:right w:w="96" w:type="dxa"/>
            </w:tcMar>
            <w:hideMark/>
          </w:tcPr>
          <w:p w14:paraId="07503CE3"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Sedatives and hypnotics</w:t>
            </w:r>
          </w:p>
        </w:tc>
        <w:tc>
          <w:tcPr>
            <w:tcW w:w="0" w:type="auto"/>
            <w:tcBorders>
              <w:top w:val="nil"/>
              <w:left w:val="nil"/>
              <w:bottom w:val="nil"/>
              <w:right w:val="nil"/>
            </w:tcBorders>
            <w:tcMar>
              <w:top w:w="48" w:type="dxa"/>
              <w:left w:w="96" w:type="dxa"/>
              <w:bottom w:w="48" w:type="dxa"/>
              <w:right w:w="96" w:type="dxa"/>
            </w:tcMar>
            <w:hideMark/>
          </w:tcPr>
          <w:p w14:paraId="2C3C83DE"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1.47</w:t>
            </w:r>
          </w:p>
        </w:tc>
        <w:tc>
          <w:tcPr>
            <w:tcW w:w="0" w:type="auto"/>
            <w:tcBorders>
              <w:top w:val="nil"/>
              <w:left w:val="nil"/>
              <w:bottom w:val="nil"/>
              <w:right w:val="nil"/>
            </w:tcBorders>
            <w:tcMar>
              <w:top w:w="48" w:type="dxa"/>
              <w:left w:w="96" w:type="dxa"/>
              <w:bottom w:w="48" w:type="dxa"/>
              <w:right w:w="96" w:type="dxa"/>
            </w:tcMar>
            <w:hideMark/>
          </w:tcPr>
          <w:p w14:paraId="289BA65B"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1.35–1.62</w:t>
            </w:r>
          </w:p>
        </w:tc>
      </w:tr>
      <w:tr w:rsidR="007431AB" w:rsidRPr="007431AB" w14:paraId="34567B85" w14:textId="77777777" w:rsidTr="007431AB">
        <w:tc>
          <w:tcPr>
            <w:tcW w:w="0" w:type="auto"/>
            <w:tcBorders>
              <w:top w:val="nil"/>
              <w:left w:val="nil"/>
              <w:bottom w:val="nil"/>
              <w:right w:val="nil"/>
            </w:tcBorders>
            <w:tcMar>
              <w:top w:w="48" w:type="dxa"/>
              <w:left w:w="96" w:type="dxa"/>
              <w:bottom w:w="48" w:type="dxa"/>
              <w:right w:w="96" w:type="dxa"/>
            </w:tcMar>
            <w:hideMark/>
          </w:tcPr>
          <w:p w14:paraId="02C6C71C"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Neuroleptics and antipsychotics</w:t>
            </w:r>
          </w:p>
        </w:tc>
        <w:tc>
          <w:tcPr>
            <w:tcW w:w="0" w:type="auto"/>
            <w:tcBorders>
              <w:top w:val="nil"/>
              <w:left w:val="nil"/>
              <w:bottom w:val="nil"/>
              <w:right w:val="nil"/>
            </w:tcBorders>
            <w:tcMar>
              <w:top w:w="48" w:type="dxa"/>
              <w:left w:w="96" w:type="dxa"/>
              <w:bottom w:w="48" w:type="dxa"/>
              <w:right w:w="96" w:type="dxa"/>
            </w:tcMar>
            <w:hideMark/>
          </w:tcPr>
          <w:p w14:paraId="1ED12629"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1.59</w:t>
            </w:r>
          </w:p>
        </w:tc>
        <w:tc>
          <w:tcPr>
            <w:tcW w:w="0" w:type="auto"/>
            <w:tcBorders>
              <w:top w:val="nil"/>
              <w:left w:val="nil"/>
              <w:bottom w:val="nil"/>
              <w:right w:val="nil"/>
            </w:tcBorders>
            <w:tcMar>
              <w:top w:w="48" w:type="dxa"/>
              <w:left w:w="96" w:type="dxa"/>
              <w:bottom w:w="48" w:type="dxa"/>
              <w:right w:w="96" w:type="dxa"/>
            </w:tcMar>
            <w:hideMark/>
          </w:tcPr>
          <w:p w14:paraId="58B1B415"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1.37–1.83</w:t>
            </w:r>
          </w:p>
        </w:tc>
      </w:tr>
      <w:tr w:rsidR="007431AB" w:rsidRPr="007431AB" w14:paraId="579498DB" w14:textId="77777777" w:rsidTr="007431AB">
        <w:tc>
          <w:tcPr>
            <w:tcW w:w="0" w:type="auto"/>
            <w:tcBorders>
              <w:top w:val="nil"/>
              <w:left w:val="nil"/>
              <w:bottom w:val="nil"/>
              <w:right w:val="nil"/>
            </w:tcBorders>
            <w:tcMar>
              <w:top w:w="48" w:type="dxa"/>
              <w:left w:w="96" w:type="dxa"/>
              <w:bottom w:w="48" w:type="dxa"/>
              <w:right w:w="96" w:type="dxa"/>
            </w:tcMar>
            <w:hideMark/>
          </w:tcPr>
          <w:p w14:paraId="74CD7AC0"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Antidepressants</w:t>
            </w:r>
          </w:p>
        </w:tc>
        <w:tc>
          <w:tcPr>
            <w:tcW w:w="0" w:type="auto"/>
            <w:tcBorders>
              <w:top w:val="nil"/>
              <w:left w:val="nil"/>
              <w:bottom w:val="nil"/>
              <w:right w:val="nil"/>
            </w:tcBorders>
            <w:tcMar>
              <w:top w:w="48" w:type="dxa"/>
              <w:left w:w="96" w:type="dxa"/>
              <w:bottom w:w="48" w:type="dxa"/>
              <w:right w:w="96" w:type="dxa"/>
            </w:tcMar>
            <w:hideMark/>
          </w:tcPr>
          <w:p w14:paraId="09EB0500"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1.68</w:t>
            </w:r>
          </w:p>
        </w:tc>
        <w:tc>
          <w:tcPr>
            <w:tcW w:w="0" w:type="auto"/>
            <w:tcBorders>
              <w:top w:val="nil"/>
              <w:left w:val="nil"/>
              <w:bottom w:val="nil"/>
              <w:right w:val="nil"/>
            </w:tcBorders>
            <w:tcMar>
              <w:top w:w="48" w:type="dxa"/>
              <w:left w:w="96" w:type="dxa"/>
              <w:bottom w:w="48" w:type="dxa"/>
              <w:right w:w="96" w:type="dxa"/>
            </w:tcMar>
            <w:hideMark/>
          </w:tcPr>
          <w:p w14:paraId="182B7E2F"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1.47–1.91</w:t>
            </w:r>
          </w:p>
        </w:tc>
      </w:tr>
      <w:tr w:rsidR="007431AB" w:rsidRPr="007431AB" w14:paraId="764D3DCE" w14:textId="77777777" w:rsidTr="007431AB">
        <w:tc>
          <w:tcPr>
            <w:tcW w:w="0" w:type="auto"/>
            <w:tcBorders>
              <w:top w:val="nil"/>
              <w:left w:val="nil"/>
              <w:bottom w:val="nil"/>
              <w:right w:val="nil"/>
            </w:tcBorders>
            <w:tcMar>
              <w:top w:w="48" w:type="dxa"/>
              <w:left w:w="96" w:type="dxa"/>
              <w:bottom w:w="48" w:type="dxa"/>
              <w:right w:w="96" w:type="dxa"/>
            </w:tcMar>
            <w:hideMark/>
          </w:tcPr>
          <w:p w14:paraId="7AB8E3D8"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Benzodiazepines</w:t>
            </w:r>
          </w:p>
        </w:tc>
        <w:tc>
          <w:tcPr>
            <w:tcW w:w="0" w:type="auto"/>
            <w:tcBorders>
              <w:top w:val="nil"/>
              <w:left w:val="nil"/>
              <w:bottom w:val="nil"/>
              <w:right w:val="nil"/>
            </w:tcBorders>
            <w:tcMar>
              <w:top w:w="48" w:type="dxa"/>
              <w:left w:w="96" w:type="dxa"/>
              <w:bottom w:w="48" w:type="dxa"/>
              <w:right w:w="96" w:type="dxa"/>
            </w:tcMar>
            <w:hideMark/>
          </w:tcPr>
          <w:p w14:paraId="2209D0F4"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1.57</w:t>
            </w:r>
          </w:p>
        </w:tc>
        <w:tc>
          <w:tcPr>
            <w:tcW w:w="0" w:type="auto"/>
            <w:tcBorders>
              <w:top w:val="nil"/>
              <w:left w:val="nil"/>
              <w:bottom w:val="nil"/>
              <w:right w:val="nil"/>
            </w:tcBorders>
            <w:tcMar>
              <w:top w:w="48" w:type="dxa"/>
              <w:left w:w="96" w:type="dxa"/>
              <w:bottom w:w="48" w:type="dxa"/>
              <w:right w:w="96" w:type="dxa"/>
            </w:tcMar>
            <w:hideMark/>
          </w:tcPr>
          <w:p w14:paraId="6DA1E14D"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1.43–1.72</w:t>
            </w:r>
          </w:p>
        </w:tc>
      </w:tr>
      <w:tr w:rsidR="007431AB" w:rsidRPr="007431AB" w14:paraId="3984669C" w14:textId="77777777" w:rsidTr="007431AB">
        <w:tc>
          <w:tcPr>
            <w:tcW w:w="0" w:type="auto"/>
            <w:tcBorders>
              <w:top w:val="nil"/>
              <w:left w:val="nil"/>
              <w:bottom w:val="nil"/>
              <w:right w:val="nil"/>
            </w:tcBorders>
            <w:tcMar>
              <w:top w:w="48" w:type="dxa"/>
              <w:left w:w="96" w:type="dxa"/>
              <w:bottom w:w="48" w:type="dxa"/>
              <w:right w:w="96" w:type="dxa"/>
            </w:tcMar>
            <w:hideMark/>
          </w:tcPr>
          <w:p w14:paraId="0C490B57"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Narcotics</w:t>
            </w:r>
          </w:p>
        </w:tc>
        <w:tc>
          <w:tcPr>
            <w:tcW w:w="0" w:type="auto"/>
            <w:tcBorders>
              <w:top w:val="nil"/>
              <w:left w:val="nil"/>
              <w:bottom w:val="nil"/>
              <w:right w:val="nil"/>
            </w:tcBorders>
            <w:tcMar>
              <w:top w:w="48" w:type="dxa"/>
              <w:left w:w="96" w:type="dxa"/>
              <w:bottom w:w="48" w:type="dxa"/>
              <w:right w:w="96" w:type="dxa"/>
            </w:tcMar>
            <w:hideMark/>
          </w:tcPr>
          <w:p w14:paraId="6944B3B0"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0.96</w:t>
            </w:r>
          </w:p>
        </w:tc>
        <w:tc>
          <w:tcPr>
            <w:tcW w:w="0" w:type="auto"/>
            <w:tcBorders>
              <w:top w:val="nil"/>
              <w:left w:val="nil"/>
              <w:bottom w:val="nil"/>
              <w:right w:val="nil"/>
            </w:tcBorders>
            <w:tcMar>
              <w:top w:w="48" w:type="dxa"/>
              <w:left w:w="96" w:type="dxa"/>
              <w:bottom w:w="48" w:type="dxa"/>
              <w:right w:w="96" w:type="dxa"/>
            </w:tcMar>
            <w:hideMark/>
          </w:tcPr>
          <w:p w14:paraId="0BAE51CA"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0.78–1.18</w:t>
            </w:r>
          </w:p>
        </w:tc>
      </w:tr>
      <w:tr w:rsidR="007431AB" w:rsidRPr="007431AB" w14:paraId="662F64FF" w14:textId="77777777" w:rsidTr="007431AB">
        <w:tc>
          <w:tcPr>
            <w:tcW w:w="0" w:type="auto"/>
            <w:tcBorders>
              <w:top w:val="nil"/>
              <w:left w:val="nil"/>
              <w:bottom w:val="nil"/>
              <w:right w:val="nil"/>
            </w:tcBorders>
            <w:tcMar>
              <w:top w:w="48" w:type="dxa"/>
              <w:left w:w="96" w:type="dxa"/>
              <w:bottom w:w="48" w:type="dxa"/>
              <w:right w:w="96" w:type="dxa"/>
            </w:tcMar>
            <w:hideMark/>
          </w:tcPr>
          <w:p w14:paraId="2761394D"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Nonsteroidal anti-inflammatory drugs</w:t>
            </w:r>
          </w:p>
        </w:tc>
        <w:tc>
          <w:tcPr>
            <w:tcW w:w="0" w:type="auto"/>
            <w:tcBorders>
              <w:top w:val="nil"/>
              <w:left w:val="nil"/>
              <w:bottom w:val="nil"/>
              <w:right w:val="nil"/>
            </w:tcBorders>
            <w:tcMar>
              <w:top w:w="48" w:type="dxa"/>
              <w:left w:w="96" w:type="dxa"/>
              <w:bottom w:w="48" w:type="dxa"/>
              <w:right w:w="96" w:type="dxa"/>
            </w:tcMar>
            <w:hideMark/>
          </w:tcPr>
          <w:p w14:paraId="57E01584"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1.21</w:t>
            </w:r>
          </w:p>
        </w:tc>
        <w:tc>
          <w:tcPr>
            <w:tcW w:w="0" w:type="auto"/>
            <w:tcBorders>
              <w:top w:val="nil"/>
              <w:left w:val="nil"/>
              <w:bottom w:val="nil"/>
              <w:right w:val="nil"/>
            </w:tcBorders>
            <w:tcMar>
              <w:top w:w="48" w:type="dxa"/>
              <w:left w:w="96" w:type="dxa"/>
              <w:bottom w:w="48" w:type="dxa"/>
              <w:right w:w="96" w:type="dxa"/>
            </w:tcMar>
            <w:hideMark/>
          </w:tcPr>
          <w:p w14:paraId="4AA63AED" w14:textId="77777777" w:rsidR="007431AB" w:rsidRPr="007431AB" w:rsidRDefault="007431AB" w:rsidP="007431AB">
            <w:pPr>
              <w:spacing w:after="0" w:line="393" w:lineRule="atLeast"/>
              <w:rPr>
                <w:rFonts w:ascii="Times New Roman" w:eastAsia="Times New Roman" w:hAnsi="Times New Roman" w:cs="Times New Roman"/>
                <w:sz w:val="20"/>
                <w:szCs w:val="20"/>
                <w:lang w:eastAsia="en-CA"/>
              </w:rPr>
            </w:pPr>
            <w:r w:rsidRPr="007431AB">
              <w:rPr>
                <w:rFonts w:ascii="Times New Roman" w:eastAsia="Times New Roman" w:hAnsi="Times New Roman" w:cs="Times New Roman"/>
                <w:sz w:val="20"/>
                <w:szCs w:val="20"/>
                <w:lang w:eastAsia="en-CA"/>
              </w:rPr>
              <w:t>1.01–1.44</w:t>
            </w:r>
          </w:p>
        </w:tc>
      </w:tr>
    </w:tbl>
    <w:p w14:paraId="43426EBE" w14:textId="77777777" w:rsidR="007431AB" w:rsidRPr="007431AB" w:rsidRDefault="007431AB" w:rsidP="007431AB">
      <w:pPr>
        <w:shd w:val="clear" w:color="auto" w:fill="FFFFFF"/>
        <w:spacing w:after="166" w:line="240" w:lineRule="auto"/>
        <w:rPr>
          <w:rFonts w:ascii="Times New Roman" w:eastAsia="Times New Roman" w:hAnsi="Times New Roman" w:cs="Times New Roman"/>
          <w:color w:val="000000"/>
          <w:sz w:val="20"/>
          <w:szCs w:val="20"/>
          <w:lang w:eastAsia="en-CA"/>
        </w:rPr>
      </w:pPr>
      <w:hyperlink r:id="rId48" w:anchor="bibr55-2042098613486829" w:tgtFrame="mainwindow" w:history="1">
        <w:proofErr w:type="spellStart"/>
        <w:r w:rsidRPr="007431AB">
          <w:rPr>
            <w:rFonts w:ascii="Times New Roman" w:eastAsia="Times New Roman" w:hAnsi="Times New Roman" w:cs="Times New Roman"/>
            <w:color w:val="642A8F"/>
            <w:sz w:val="20"/>
            <w:szCs w:val="20"/>
            <w:u w:val="single"/>
            <w:lang w:eastAsia="en-CA"/>
          </w:rPr>
          <w:t>Woolcott</w:t>
        </w:r>
        <w:proofErr w:type="spellEnd"/>
        <w:r w:rsidRPr="007431AB">
          <w:rPr>
            <w:rFonts w:ascii="Times New Roman" w:eastAsia="Times New Roman" w:hAnsi="Times New Roman" w:cs="Times New Roman"/>
            <w:color w:val="642A8F"/>
            <w:sz w:val="20"/>
            <w:szCs w:val="20"/>
            <w:u w:val="single"/>
            <w:lang w:eastAsia="en-CA"/>
          </w:rPr>
          <w:t> </w:t>
        </w:r>
        <w:r w:rsidRPr="007431AB">
          <w:rPr>
            <w:rFonts w:ascii="Times New Roman" w:eastAsia="Times New Roman" w:hAnsi="Times New Roman" w:cs="Times New Roman"/>
            <w:i/>
            <w:iCs/>
            <w:color w:val="642A8F"/>
            <w:sz w:val="20"/>
            <w:szCs w:val="20"/>
            <w:u w:val="single"/>
            <w:lang w:eastAsia="en-CA"/>
          </w:rPr>
          <w:t>et al.</w:t>
        </w:r>
        <w:r w:rsidRPr="007431AB">
          <w:rPr>
            <w:rFonts w:ascii="Times New Roman" w:eastAsia="Times New Roman" w:hAnsi="Times New Roman" w:cs="Times New Roman"/>
            <w:color w:val="642A8F"/>
            <w:sz w:val="20"/>
            <w:szCs w:val="20"/>
            <w:u w:val="single"/>
            <w:lang w:eastAsia="en-CA"/>
          </w:rPr>
          <w:t> [2009]</w:t>
        </w:r>
      </w:hyperlink>
      <w:r w:rsidRPr="007431AB">
        <w:rPr>
          <w:rFonts w:ascii="Times New Roman" w:eastAsia="Times New Roman" w:hAnsi="Times New Roman" w:cs="Times New Roman"/>
          <w:color w:val="000000"/>
          <w:sz w:val="20"/>
          <w:szCs w:val="20"/>
          <w:lang w:eastAsia="en-CA"/>
        </w:rPr>
        <w:t>.</w:t>
      </w:r>
    </w:p>
    <w:p w14:paraId="3EF66C6F" w14:textId="786ECD51" w:rsidR="007431AB" w:rsidRPr="007431AB" w:rsidRDefault="007431AB" w:rsidP="007431AB">
      <w:pPr>
        <w:shd w:val="clear" w:color="auto" w:fill="FFFFFF"/>
        <w:spacing w:before="166" w:line="240" w:lineRule="auto"/>
        <w:rPr>
          <w:rFonts w:ascii="Times New Roman" w:eastAsia="Times New Roman" w:hAnsi="Times New Roman" w:cs="Times New Roman"/>
          <w:color w:val="000000"/>
          <w:sz w:val="20"/>
          <w:szCs w:val="20"/>
          <w:lang w:eastAsia="en-CA"/>
        </w:rPr>
      </w:pPr>
      <w:r w:rsidRPr="007431AB">
        <w:rPr>
          <w:rFonts w:ascii="Times New Roman" w:eastAsia="Times New Roman" w:hAnsi="Times New Roman" w:cs="Times New Roman"/>
          <w:color w:val="000000"/>
          <w:sz w:val="20"/>
          <w:szCs w:val="20"/>
          <w:lang w:eastAsia="en-CA"/>
        </w:rPr>
        <w:t>CI, confidence interval.</w:t>
      </w:r>
    </w:p>
    <w:p w14:paraId="3F7309B5" w14:textId="77777777" w:rsidR="007431AB" w:rsidRPr="007431AB" w:rsidRDefault="007431AB" w:rsidP="007431AB">
      <w:pPr>
        <w:spacing w:before="308" w:after="154" w:line="300" w:lineRule="atLeast"/>
        <w:outlineLvl w:val="2"/>
        <w:rPr>
          <w:rFonts w:ascii="Arial" w:eastAsia="Times New Roman" w:hAnsi="Arial" w:cs="Arial"/>
          <w:b/>
          <w:bCs/>
          <w:color w:val="724128"/>
          <w:sz w:val="24"/>
          <w:szCs w:val="24"/>
          <w:lang w:eastAsia="en-CA"/>
        </w:rPr>
      </w:pPr>
      <w:proofErr w:type="spellStart"/>
      <w:r w:rsidRPr="007431AB">
        <w:rPr>
          <w:rFonts w:ascii="Arial" w:eastAsia="Times New Roman" w:hAnsi="Arial" w:cs="Arial"/>
          <w:b/>
          <w:bCs/>
          <w:color w:val="724128"/>
          <w:sz w:val="24"/>
          <w:szCs w:val="24"/>
          <w:lang w:eastAsia="en-CA"/>
        </w:rPr>
        <w:t>Hypnosedatives</w:t>
      </w:r>
      <w:proofErr w:type="spellEnd"/>
      <w:r w:rsidRPr="007431AB">
        <w:rPr>
          <w:rFonts w:ascii="Arial" w:eastAsia="Times New Roman" w:hAnsi="Arial" w:cs="Arial"/>
          <w:b/>
          <w:bCs/>
          <w:color w:val="724128"/>
          <w:sz w:val="24"/>
          <w:szCs w:val="24"/>
          <w:lang w:eastAsia="en-CA"/>
        </w:rPr>
        <w:t xml:space="preserve"> and benzodiazepines</w:t>
      </w:r>
    </w:p>
    <w:p w14:paraId="3B4846E9"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lastRenderedPageBreak/>
        <w:t>Hypnosedative</w:t>
      </w:r>
      <w:proofErr w:type="spellEnd"/>
      <w:r w:rsidRPr="007431AB">
        <w:rPr>
          <w:rFonts w:ascii="Times New Roman" w:eastAsia="Times New Roman" w:hAnsi="Times New Roman" w:cs="Times New Roman"/>
          <w:color w:val="000000"/>
          <w:sz w:val="24"/>
          <w:szCs w:val="24"/>
          <w:lang w:eastAsia="en-CA"/>
        </w:rPr>
        <w:t xml:space="preserve"> drugs are widely prescribed to older adults. Of all </w:t>
      </w:r>
      <w:proofErr w:type="spellStart"/>
      <w:r w:rsidRPr="007431AB">
        <w:rPr>
          <w:rFonts w:ascii="Times New Roman" w:eastAsia="Times New Roman" w:hAnsi="Times New Roman" w:cs="Times New Roman"/>
          <w:color w:val="000000"/>
          <w:sz w:val="24"/>
          <w:szCs w:val="24"/>
          <w:lang w:eastAsia="en-CA"/>
        </w:rPr>
        <w:t>hypnosedative</w:t>
      </w:r>
      <w:proofErr w:type="spellEnd"/>
      <w:r w:rsidRPr="007431AB">
        <w:rPr>
          <w:rFonts w:ascii="Times New Roman" w:eastAsia="Times New Roman" w:hAnsi="Times New Roman" w:cs="Times New Roman"/>
          <w:color w:val="000000"/>
          <w:sz w:val="24"/>
          <w:szCs w:val="24"/>
          <w:lang w:eastAsia="en-CA"/>
        </w:rPr>
        <w:t xml:space="preserve"> medications, benzodiazepines are the most commonly used by community dwelling older people. The prevalence of benzodiazepine use is approximately 10–12% [</w:t>
      </w:r>
      <w:hyperlink r:id="rId49" w:anchor="bibr3-2042098613486829" w:history="1">
        <w:r w:rsidRPr="007431AB">
          <w:rPr>
            <w:rFonts w:ascii="Times New Roman" w:eastAsia="Times New Roman" w:hAnsi="Times New Roman" w:cs="Times New Roman"/>
            <w:color w:val="642A8F"/>
            <w:sz w:val="24"/>
            <w:szCs w:val="24"/>
            <w:u w:val="single"/>
            <w:lang w:eastAsia="en-CA"/>
          </w:rPr>
          <w:t>Blazer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2000</w:t>
        </w:r>
      </w:hyperlink>
      <w:r w:rsidRPr="007431AB">
        <w:rPr>
          <w:rFonts w:ascii="Times New Roman" w:eastAsia="Times New Roman" w:hAnsi="Times New Roman" w:cs="Times New Roman"/>
          <w:color w:val="000000"/>
          <w:sz w:val="24"/>
          <w:szCs w:val="24"/>
          <w:lang w:eastAsia="en-CA"/>
        </w:rPr>
        <w:t xml:space="preserve">]. Benzodiazepines are commonly used to treat sleeping disorders and anxiety problems. However, their ability to treat sleeping disorders is generally short lived, not exceeding a few weeks, with sleeping patterns declining towards </w:t>
      </w:r>
      <w:proofErr w:type="spellStart"/>
      <w:r w:rsidRPr="007431AB">
        <w:rPr>
          <w:rFonts w:ascii="Times New Roman" w:eastAsia="Times New Roman" w:hAnsi="Times New Roman" w:cs="Times New Roman"/>
          <w:color w:val="000000"/>
          <w:sz w:val="24"/>
          <w:szCs w:val="24"/>
          <w:lang w:eastAsia="en-CA"/>
        </w:rPr>
        <w:t>pretreatment</w:t>
      </w:r>
      <w:proofErr w:type="spellEnd"/>
      <w:r w:rsidRPr="007431AB">
        <w:rPr>
          <w:rFonts w:ascii="Times New Roman" w:eastAsia="Times New Roman" w:hAnsi="Times New Roman" w:cs="Times New Roman"/>
          <w:color w:val="000000"/>
          <w:sz w:val="24"/>
          <w:szCs w:val="24"/>
          <w:lang w:eastAsia="en-CA"/>
        </w:rPr>
        <w:t xml:space="preserve"> levels over a 2-year period. Nonetheless, in almost 80% of older people treated with benzodiazepines, therapy continues for over 2 years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"bibr30-2042098613486829"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Lechevallier</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2003</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Furthermore, benzodiazepines cause psychological dependence, which contributes to difficulties with discontinuation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"bibr24-2042098613486829"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Heberlein</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Multiple studies have evaluated the association between benzodiazepines and falls. </w:t>
      </w:r>
      <w:proofErr w:type="spellStart"/>
      <w:r w:rsidRPr="007431AB">
        <w:rPr>
          <w:rFonts w:ascii="Times New Roman" w:eastAsia="Times New Roman" w:hAnsi="Times New Roman" w:cs="Times New Roman"/>
          <w:color w:val="000000"/>
          <w:sz w:val="24"/>
          <w:szCs w:val="24"/>
          <w:lang w:eastAsia="en-CA"/>
        </w:rPr>
        <w:t>Hartikainen</w:t>
      </w:r>
      <w:proofErr w:type="spellEnd"/>
      <w:r w:rsidRPr="007431AB">
        <w:rPr>
          <w:rFonts w:ascii="Times New Roman" w:eastAsia="Times New Roman" w:hAnsi="Times New Roman" w:cs="Times New Roman"/>
          <w:color w:val="000000"/>
          <w:sz w:val="24"/>
          <w:szCs w:val="24"/>
          <w:lang w:eastAsia="en-CA"/>
        </w:rPr>
        <w:t xml:space="preserve"> and colleagues performed a systematic review of all literature published between 1996 and 2004 on falls, fractures and the association with drug use among older people (aged 60 years and older)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"bibr23-2042098613486829"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Hartikainen</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Most studies showed a significant association between the use of benzodiazepines and falls or fractures. The risk of falling increased after a new prescription of benzodiazepine and with long-term use. Concomitant use of two or more benzodiazepines increased the risk of hip fracture twofold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"bibr41-2042098613486829"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Pierfitte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2001</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5ED53089"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Landi</w:t>
      </w:r>
      <w:proofErr w:type="spellEnd"/>
      <w:r w:rsidRPr="007431AB">
        <w:rPr>
          <w:rFonts w:ascii="Times New Roman" w:eastAsia="Times New Roman" w:hAnsi="Times New Roman" w:cs="Times New Roman"/>
          <w:color w:val="000000"/>
          <w:sz w:val="24"/>
          <w:szCs w:val="24"/>
          <w:lang w:eastAsia="en-CA"/>
        </w:rPr>
        <w:t xml:space="preserve"> and colleagues conducted an observational study in which benzodiazepines were classified into two different groups according to their metabolic pathway: short-acting (&lt;24 h) and long-acting benzodiazepines (&gt;24 h)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Landi</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2005</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Benzodiazepines with a long elimination half life increased the risk of falling [adjusted odds ratio (OR) 1.45; 95% confidence interval (CI) 1.00–2.19]; </w:t>
      </w:r>
      <w:proofErr w:type="gramStart"/>
      <w:r w:rsidRPr="007431AB">
        <w:rPr>
          <w:rFonts w:ascii="Times New Roman" w:eastAsia="Times New Roman" w:hAnsi="Times New Roman" w:cs="Times New Roman"/>
          <w:color w:val="000000"/>
          <w:sz w:val="24"/>
          <w:szCs w:val="24"/>
          <w:lang w:eastAsia="en-CA"/>
        </w:rPr>
        <w:t>similarly</w:t>
      </w:r>
      <w:proofErr w:type="gramEnd"/>
      <w:r w:rsidRPr="007431AB">
        <w:rPr>
          <w:rFonts w:ascii="Times New Roman" w:eastAsia="Times New Roman" w:hAnsi="Times New Roman" w:cs="Times New Roman"/>
          <w:color w:val="000000"/>
          <w:sz w:val="24"/>
          <w:szCs w:val="24"/>
          <w:lang w:eastAsia="en-CA"/>
        </w:rPr>
        <w:t xml:space="preserve"> to benzodiazepines with short elimination half life (adjusted OR 1.32; 95% CI 1.02–1.72). The authors suggested that the preferential use of benzodiazepines with short elimination half life is unlikely to reduce fall risk among older people taking benzodiazepines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Landi</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2005</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Besides an increased risk for falls, benzodiazepine exposure in community-dwelling older people has been associated with several negative health consequences, including depressed mood [</w:t>
      </w:r>
      <w:hyperlink r:id="rId50" w:anchor="bibr40-2042098613486829" w:history="1">
        <w:r w:rsidRPr="007431AB">
          <w:rPr>
            <w:rFonts w:ascii="Times New Roman" w:eastAsia="Times New Roman" w:hAnsi="Times New Roman" w:cs="Times New Roman"/>
            <w:color w:val="642A8F"/>
            <w:sz w:val="24"/>
            <w:szCs w:val="24"/>
            <w:u w:val="single"/>
            <w:lang w:eastAsia="en-CA"/>
          </w:rPr>
          <w:t>Patten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1996</w:t>
        </w:r>
      </w:hyperlink>
      <w:r w:rsidRPr="007431AB">
        <w:rPr>
          <w:rFonts w:ascii="Times New Roman" w:eastAsia="Times New Roman" w:hAnsi="Times New Roman" w:cs="Times New Roman"/>
          <w:color w:val="000000"/>
          <w:sz w:val="24"/>
          <w:szCs w:val="24"/>
          <w:lang w:eastAsia="en-CA"/>
        </w:rPr>
        <w:t>], impaired cognition [</w:t>
      </w:r>
      <w:hyperlink r:id="rId51" w:anchor="bibr16-2042098613486829" w:history="1">
        <w:r w:rsidRPr="007431AB">
          <w:rPr>
            <w:rFonts w:ascii="Times New Roman" w:eastAsia="Times New Roman" w:hAnsi="Times New Roman" w:cs="Times New Roman"/>
            <w:color w:val="642A8F"/>
            <w:sz w:val="24"/>
            <w:szCs w:val="24"/>
            <w:u w:val="single"/>
            <w:lang w:eastAsia="en-CA"/>
          </w:rPr>
          <w:t>Hanlon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1998</w:t>
        </w:r>
      </w:hyperlink>
      <w:r w:rsidRPr="007431AB">
        <w:rPr>
          <w:rFonts w:ascii="Times New Roman" w:eastAsia="Times New Roman" w:hAnsi="Times New Roman" w:cs="Times New Roman"/>
          <w:color w:val="000000"/>
          <w:sz w:val="24"/>
          <w:szCs w:val="24"/>
          <w:lang w:eastAsia="en-CA"/>
        </w:rPr>
        <w:t>] and loss of physical function [</w:t>
      </w:r>
      <w:hyperlink r:id="rId52" w:anchor="bibr14-2042098613486829" w:history="1">
        <w:r w:rsidRPr="007431AB">
          <w:rPr>
            <w:rFonts w:ascii="Times New Roman" w:eastAsia="Times New Roman" w:hAnsi="Times New Roman" w:cs="Times New Roman"/>
            <w:color w:val="642A8F"/>
            <w:sz w:val="24"/>
            <w:szCs w:val="24"/>
            <w:u w:val="single"/>
            <w:lang w:eastAsia="en-CA"/>
          </w:rPr>
          <w:t>Gray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2002</w:t>
        </w:r>
      </w:hyperlink>
      <w:r w:rsidRPr="007431AB">
        <w:rPr>
          <w:rFonts w:ascii="Times New Roman" w:eastAsia="Times New Roman" w:hAnsi="Times New Roman" w:cs="Times New Roman"/>
          <w:color w:val="000000"/>
          <w:sz w:val="24"/>
          <w:szCs w:val="24"/>
          <w:lang w:eastAsia="en-CA"/>
        </w:rPr>
        <w:t>].</w:t>
      </w:r>
    </w:p>
    <w:p w14:paraId="33B3D415" w14:textId="77777777" w:rsidR="007431AB" w:rsidRPr="007431AB" w:rsidRDefault="007431AB" w:rsidP="007431AB">
      <w:pPr>
        <w:spacing w:before="308" w:after="154" w:line="300" w:lineRule="atLeast"/>
        <w:outlineLvl w:val="2"/>
        <w:rPr>
          <w:rFonts w:ascii="Arial" w:eastAsia="Times New Roman" w:hAnsi="Arial" w:cs="Arial"/>
          <w:b/>
          <w:bCs/>
          <w:color w:val="724128"/>
          <w:sz w:val="24"/>
          <w:szCs w:val="24"/>
          <w:lang w:eastAsia="en-CA"/>
        </w:rPr>
      </w:pPr>
      <w:r w:rsidRPr="007431AB">
        <w:rPr>
          <w:rFonts w:ascii="Arial" w:eastAsia="Times New Roman" w:hAnsi="Arial" w:cs="Arial"/>
          <w:b/>
          <w:bCs/>
          <w:color w:val="724128"/>
          <w:sz w:val="24"/>
          <w:szCs w:val="24"/>
          <w:lang w:eastAsia="en-CA"/>
        </w:rPr>
        <w:t>Antidepressants</w:t>
      </w:r>
    </w:p>
    <w:p w14:paraId="14DBFB14"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Antidepressants have long been recognized as a contributory factor to falls. In 1987, Ray and colleagues published a first large case-control study. A significant association between tricyclic antidepressants (TCAs) and the risk of hip fracture in people aged 65 years and older was shown [</w:t>
      </w:r>
      <w:hyperlink r:id="rId53" w:anchor="bibr42-2042098613486829" w:history="1">
        <w:r w:rsidRPr="007431AB">
          <w:rPr>
            <w:rFonts w:ascii="Times New Roman" w:eastAsia="Times New Roman" w:hAnsi="Times New Roman" w:cs="Times New Roman"/>
            <w:color w:val="642A8F"/>
            <w:sz w:val="24"/>
            <w:szCs w:val="24"/>
            <w:u w:val="single"/>
            <w:lang w:eastAsia="en-CA"/>
          </w:rPr>
          <w:t>Ray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1987</w:t>
        </w:r>
      </w:hyperlink>
      <w:r w:rsidRPr="007431AB">
        <w:rPr>
          <w:rFonts w:ascii="Times New Roman" w:eastAsia="Times New Roman" w:hAnsi="Times New Roman" w:cs="Times New Roman"/>
          <w:color w:val="000000"/>
          <w:sz w:val="24"/>
          <w:szCs w:val="24"/>
          <w:lang w:eastAsia="en-CA"/>
        </w:rPr>
        <w:t>]. In 1998, Thapa and colleagues demonstrated the association between selective serotonin reuptake inhibitors (SSRIs) and risk of falls in the same age group [</w:t>
      </w:r>
      <w:hyperlink r:id="rId54" w:anchor="bibr51-2042098613486829" w:history="1">
        <w:r w:rsidRPr="007431AB">
          <w:rPr>
            <w:rFonts w:ascii="Times New Roman" w:eastAsia="Times New Roman" w:hAnsi="Times New Roman" w:cs="Times New Roman"/>
            <w:color w:val="642A8F"/>
            <w:sz w:val="24"/>
            <w:szCs w:val="24"/>
            <w:u w:val="single"/>
            <w:lang w:eastAsia="en-CA"/>
          </w:rPr>
          <w:t>Thapa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1998</w:t>
        </w:r>
      </w:hyperlink>
      <w:r w:rsidRPr="007431AB">
        <w:rPr>
          <w:rFonts w:ascii="Times New Roman" w:eastAsia="Times New Roman" w:hAnsi="Times New Roman" w:cs="Times New Roman"/>
          <w:color w:val="000000"/>
          <w:sz w:val="24"/>
          <w:szCs w:val="24"/>
          <w:lang w:eastAsia="en-CA"/>
        </w:rPr>
        <w:t>]. The ratios were increased for both TCAs and SSRIs after adjustments were made for differences in potential confounding factors: 2.0 (95% CI 1.8–2.2) and 1.8 (95% CI 1.6–2.0) respectively.</w:t>
      </w:r>
    </w:p>
    <w:p w14:paraId="563BF2C0"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TCAs are thought to contribute to falls and hip fractures through several mechanisms, which are attributable to their effects on histamine receptors and α adrenoceptors. These drug classes may cause sedation and sleep disturbance with daytime sleepiness, orthostatic hypotension, confusion and cardiac arrhythmias. SSRIs have fewer anticholinergic side effects and appear to be better tolerated by patients [</w:t>
      </w:r>
      <w:hyperlink r:id="rId55" w:anchor="bibr34-2042098613486829" w:history="1">
        <w:r w:rsidRPr="007431AB">
          <w:rPr>
            <w:rFonts w:ascii="Times New Roman" w:eastAsia="Times New Roman" w:hAnsi="Times New Roman" w:cs="Times New Roman"/>
            <w:color w:val="642A8F"/>
            <w:sz w:val="24"/>
            <w:szCs w:val="24"/>
            <w:u w:val="single"/>
            <w:lang w:eastAsia="en-CA"/>
          </w:rPr>
          <w:t>Martin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1997</w:t>
        </w:r>
      </w:hyperlink>
      <w:r w:rsidRPr="007431AB">
        <w:rPr>
          <w:rFonts w:ascii="Times New Roman" w:eastAsia="Times New Roman" w:hAnsi="Times New Roman" w:cs="Times New Roman"/>
          <w:color w:val="000000"/>
          <w:sz w:val="24"/>
          <w:szCs w:val="24"/>
          <w:lang w:eastAsia="en-CA"/>
        </w:rPr>
        <w:t xml:space="preserve">]. Despite another profile on side effects, adverse effects such as impaired balance and sleep disturbance are frequently reported. </w:t>
      </w:r>
      <w:proofErr w:type="spellStart"/>
      <w:r w:rsidRPr="007431AB">
        <w:rPr>
          <w:rFonts w:ascii="Times New Roman" w:eastAsia="Times New Roman" w:hAnsi="Times New Roman" w:cs="Times New Roman"/>
          <w:color w:val="000000"/>
          <w:sz w:val="24"/>
          <w:szCs w:val="24"/>
          <w:lang w:eastAsia="en-CA"/>
        </w:rPr>
        <w:t>Ziere</w:t>
      </w:r>
      <w:proofErr w:type="spellEnd"/>
      <w:r w:rsidRPr="007431AB">
        <w:rPr>
          <w:rFonts w:ascii="Times New Roman" w:eastAsia="Times New Roman" w:hAnsi="Times New Roman" w:cs="Times New Roman"/>
          <w:color w:val="000000"/>
          <w:sz w:val="24"/>
          <w:szCs w:val="24"/>
          <w:lang w:eastAsia="en-CA"/>
        </w:rPr>
        <w:t xml:space="preserve"> and colleagues examined in a prospective study the association between the antidepressants TCAs and SSRIs, and the risk of nonvertebral fractures in older people. They reported that people who use TCAs </w:t>
      </w:r>
      <w:r w:rsidRPr="007431AB">
        <w:rPr>
          <w:rFonts w:ascii="Times New Roman" w:eastAsia="Times New Roman" w:hAnsi="Times New Roman" w:cs="Times New Roman"/>
          <w:color w:val="000000"/>
          <w:sz w:val="24"/>
          <w:szCs w:val="24"/>
          <w:lang w:eastAsia="en-CA"/>
        </w:rPr>
        <w:lastRenderedPageBreak/>
        <w:t>but also SSRIs have a significantly increased risk of nonvertebral fractures. As the risk diminished progressively with prolonged use of TCAs, it increases over time with the use of SSRIs [</w:t>
      </w:r>
      <w:proofErr w:type="spellStart"/>
      <w:r w:rsidRPr="007431AB">
        <w:rPr>
          <w:rFonts w:ascii="Times New Roman" w:eastAsia="Times New Roman" w:hAnsi="Times New Roman" w:cs="Times New Roman"/>
          <w:color w:val="000000"/>
          <w:sz w:val="24"/>
          <w:szCs w:val="24"/>
          <w:lang w:eastAsia="en-CA"/>
        </w:rPr>
        <w:t>Ziere</w:t>
      </w:r>
      <w:proofErr w:type="spellEnd"/>
      <w:r w:rsidRPr="007431AB">
        <w:rPr>
          <w:rFonts w:ascii="Times New Roman" w:eastAsia="Times New Roman" w:hAnsi="Times New Roman" w:cs="Times New Roman"/>
          <w:color w:val="000000"/>
          <w:sz w:val="24"/>
          <w:szCs w:val="24"/>
          <w:lang w:eastAsia="en-CA"/>
        </w:rPr>
        <w:t> </w:t>
      </w:r>
      <w:r w:rsidRPr="007431AB">
        <w:rPr>
          <w:rFonts w:ascii="Times New Roman" w:eastAsia="Times New Roman" w:hAnsi="Times New Roman" w:cs="Times New Roman"/>
          <w:i/>
          <w:iCs/>
          <w:color w:val="000000"/>
          <w:sz w:val="24"/>
          <w:szCs w:val="24"/>
          <w:lang w:eastAsia="en-CA"/>
        </w:rPr>
        <w:t>et al</w:t>
      </w:r>
      <w:r w:rsidRPr="007431AB">
        <w:rPr>
          <w:rFonts w:ascii="Times New Roman" w:eastAsia="Times New Roman" w:hAnsi="Times New Roman" w:cs="Times New Roman"/>
          <w:color w:val="000000"/>
          <w:sz w:val="24"/>
          <w:szCs w:val="24"/>
          <w:lang w:eastAsia="en-CA"/>
        </w:rPr>
        <w:t>. 2008]. There is growing evidence that SSRIs increase fracture risk by causing a reduction in bone mineral density. A reduction of 3.9% of the bone mineral density at the hip and 5.9% at the lumbar spine was found [</w:t>
      </w:r>
      <w:hyperlink r:id="rId56" w:anchor="bibr15-2042098613486829" w:history="1">
        <w:r w:rsidRPr="007431AB">
          <w:rPr>
            <w:rFonts w:ascii="Times New Roman" w:eastAsia="Times New Roman" w:hAnsi="Times New Roman" w:cs="Times New Roman"/>
            <w:color w:val="642A8F"/>
            <w:sz w:val="24"/>
            <w:szCs w:val="24"/>
            <w:u w:val="single"/>
            <w:lang w:eastAsia="en-CA"/>
          </w:rPr>
          <w:t>Haney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hyperlink>
      <w:r w:rsidRPr="007431AB">
        <w:rPr>
          <w:rFonts w:ascii="Times New Roman" w:eastAsia="Times New Roman" w:hAnsi="Times New Roman" w:cs="Times New Roman"/>
          <w:color w:val="000000"/>
          <w:sz w:val="24"/>
          <w:szCs w:val="24"/>
          <w:lang w:eastAsia="en-CA"/>
        </w:rPr>
        <w:t>].</w:t>
      </w:r>
    </w:p>
    <w:p w14:paraId="54DC8A56" w14:textId="77777777" w:rsidR="007431AB" w:rsidRPr="007431AB" w:rsidRDefault="007431AB" w:rsidP="007431AB">
      <w:pPr>
        <w:spacing w:before="308" w:after="154" w:line="300" w:lineRule="atLeast"/>
        <w:outlineLvl w:val="2"/>
        <w:rPr>
          <w:rFonts w:ascii="Arial" w:eastAsia="Times New Roman" w:hAnsi="Arial" w:cs="Arial"/>
          <w:b/>
          <w:bCs/>
          <w:color w:val="724128"/>
          <w:sz w:val="24"/>
          <w:szCs w:val="24"/>
          <w:lang w:eastAsia="en-CA"/>
        </w:rPr>
      </w:pPr>
      <w:r w:rsidRPr="007431AB">
        <w:rPr>
          <w:rFonts w:ascii="Arial" w:eastAsia="Times New Roman" w:hAnsi="Arial" w:cs="Arial"/>
          <w:b/>
          <w:bCs/>
          <w:color w:val="724128"/>
          <w:sz w:val="24"/>
          <w:szCs w:val="24"/>
          <w:lang w:eastAsia="en-CA"/>
        </w:rPr>
        <w:t>Neuroleptics and antipsychotics</w:t>
      </w:r>
    </w:p>
    <w:p w14:paraId="2BB3F63C"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Until recently, there was limited evidence that neuroleptics and antipsychotics increase the risk of recurrent falls in older adults. Several studies have been performed but the evidence remains inconclusive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"bibr49-2042098613486829"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Sterke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Recently, </w:t>
      </w:r>
      <w:proofErr w:type="spellStart"/>
      <w:r w:rsidRPr="007431AB">
        <w:rPr>
          <w:rFonts w:ascii="Times New Roman" w:eastAsia="Times New Roman" w:hAnsi="Times New Roman" w:cs="Times New Roman"/>
          <w:color w:val="000000"/>
          <w:sz w:val="24"/>
          <w:szCs w:val="24"/>
          <w:lang w:eastAsia="en-CA"/>
        </w:rPr>
        <w:t>Sterke</w:t>
      </w:r>
      <w:proofErr w:type="spellEnd"/>
      <w:r w:rsidRPr="007431AB">
        <w:rPr>
          <w:rFonts w:ascii="Times New Roman" w:eastAsia="Times New Roman" w:hAnsi="Times New Roman" w:cs="Times New Roman"/>
          <w:color w:val="000000"/>
          <w:sz w:val="24"/>
          <w:szCs w:val="24"/>
          <w:lang w:eastAsia="en-CA"/>
        </w:rPr>
        <w:t xml:space="preserve"> and colleagues evaluated the dose–response relationship between psychotropic drugs and falls in nursing home residents with dementia. The authors showed that fall was increased with the use of antipsychotics (hazard ratio 1.53, 95% CI 1.17–2.00) and found also a significant dose–response relationship for the use of antipsychotics (hazard ratio 2.78; 95% CI 1.49–5.17)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"bibr48-2042098613486829"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Sterke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2012</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31FA3257" w14:textId="77777777" w:rsidR="007431AB" w:rsidRPr="007431AB" w:rsidRDefault="007431AB" w:rsidP="007431AB">
      <w:pPr>
        <w:spacing w:before="308" w:after="154" w:line="300" w:lineRule="atLeast"/>
        <w:outlineLvl w:val="2"/>
        <w:rPr>
          <w:rFonts w:ascii="Arial" w:eastAsia="Times New Roman" w:hAnsi="Arial" w:cs="Arial"/>
          <w:b/>
          <w:bCs/>
          <w:color w:val="724128"/>
          <w:sz w:val="24"/>
          <w:szCs w:val="24"/>
          <w:lang w:eastAsia="en-CA"/>
        </w:rPr>
      </w:pPr>
      <w:r w:rsidRPr="007431AB">
        <w:rPr>
          <w:rFonts w:ascii="Arial" w:eastAsia="Times New Roman" w:hAnsi="Arial" w:cs="Arial"/>
          <w:b/>
          <w:bCs/>
          <w:color w:val="724128"/>
          <w:sz w:val="24"/>
          <w:szCs w:val="24"/>
          <w:lang w:eastAsia="en-CA"/>
        </w:rPr>
        <w:t>Polypharmacy</w:t>
      </w:r>
    </w:p>
    <w:p w14:paraId="666A0593"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 risk increases with the number of drugs used per day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"bibr58-2042098613486829"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Ziere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2006</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xml:space="preserve">] and polypharmacy (the use of at least three drugs) is regarded as an important risk factor for falls in older people. A recent cross-sectional study showed that polypharmacy itself is not a risk factor for falling, unless a fall risk increasing drug is part of the drug regimen. </w:t>
      </w:r>
      <w:proofErr w:type="spellStart"/>
      <w:r w:rsidRPr="007431AB">
        <w:rPr>
          <w:rFonts w:ascii="Times New Roman" w:eastAsia="Times New Roman" w:hAnsi="Times New Roman" w:cs="Times New Roman"/>
          <w:color w:val="000000"/>
          <w:sz w:val="24"/>
          <w:szCs w:val="24"/>
          <w:lang w:eastAsia="en-CA"/>
        </w:rPr>
        <w:t>Ziere</w:t>
      </w:r>
      <w:proofErr w:type="spellEnd"/>
      <w:r w:rsidRPr="007431AB">
        <w:rPr>
          <w:rFonts w:ascii="Times New Roman" w:eastAsia="Times New Roman" w:hAnsi="Times New Roman" w:cs="Times New Roman"/>
          <w:color w:val="000000"/>
          <w:sz w:val="24"/>
          <w:szCs w:val="24"/>
          <w:lang w:eastAsia="en-CA"/>
        </w:rPr>
        <w:t xml:space="preserve"> and colleagues stated that polypharmacy remained a significant risk factor for falling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"bibr58-2042098613486829"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Ziere</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2006</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0C64CDAB"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57" w:tooltip="Go to other sections in this page" w:history="1">
        <w:r w:rsidRPr="007431AB">
          <w:rPr>
            <w:rFonts w:ascii="Arial" w:eastAsia="Times New Roman" w:hAnsi="Arial" w:cs="Arial"/>
            <w:color w:val="642A8F"/>
            <w:sz w:val="24"/>
            <w:szCs w:val="24"/>
            <w:u w:val="single"/>
            <w:lang w:eastAsia="en-CA"/>
          </w:rPr>
          <w:t>Go to:</w:t>
        </w:r>
      </w:hyperlink>
    </w:p>
    <w:p w14:paraId="1232D6DD"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Prevention</w:t>
      </w:r>
    </w:p>
    <w:p w14:paraId="4369A989"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proofErr w:type="gramStart"/>
      <w:r w:rsidRPr="007431AB">
        <w:rPr>
          <w:rFonts w:ascii="Times New Roman" w:eastAsia="Times New Roman" w:hAnsi="Times New Roman" w:cs="Times New Roman"/>
          <w:color w:val="000000"/>
          <w:sz w:val="24"/>
          <w:szCs w:val="24"/>
          <w:lang w:eastAsia="en-CA"/>
        </w:rPr>
        <w:t>The majority of</w:t>
      </w:r>
      <w:proofErr w:type="gramEnd"/>
      <w:r w:rsidRPr="007431AB">
        <w:rPr>
          <w:rFonts w:ascii="Times New Roman" w:eastAsia="Times New Roman" w:hAnsi="Times New Roman" w:cs="Times New Roman"/>
          <w:color w:val="000000"/>
          <w:sz w:val="24"/>
          <w:szCs w:val="24"/>
          <w:lang w:eastAsia="en-CA"/>
        </w:rPr>
        <w:t xml:space="preserve"> falls have a multifactorial origin. With respect to falls prevention, all factors should be analysed and evaluated. Multidisciplinary falls programmes, for example, assessment by a geriatrician, should be implemented and focused on the high-risk groups [</w:t>
      </w:r>
      <w:hyperlink r:id="rId58" w:anchor="bibr5-2042098613486829" w:history="1">
        <w:r w:rsidRPr="007431AB">
          <w:rPr>
            <w:rFonts w:ascii="Times New Roman" w:eastAsia="Times New Roman" w:hAnsi="Times New Roman" w:cs="Times New Roman"/>
            <w:color w:val="642A8F"/>
            <w:sz w:val="24"/>
            <w:szCs w:val="24"/>
            <w:u w:val="single"/>
            <w:lang w:eastAsia="en-CA"/>
          </w:rPr>
          <w:t>Cameron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2010</w:t>
        </w:r>
      </w:hyperlink>
      <w:r w:rsidRPr="007431AB">
        <w:rPr>
          <w:rFonts w:ascii="Times New Roman" w:eastAsia="Times New Roman" w:hAnsi="Times New Roman" w:cs="Times New Roman"/>
          <w:color w:val="000000"/>
          <w:sz w:val="24"/>
          <w:szCs w:val="24"/>
          <w:lang w:eastAsia="en-CA"/>
        </w:rPr>
        <w:t>]. Drugs are one of the modifiable risk factors for falls and related injuries. With the growing evidence of drugs contributing to fall incidents, and their extensive use, it should be no surprise that prevention is nowadays mainly focused on these so-called ‘fall risk increasing drugs’. In a randomized control trial the effectiveness of psychotropic drug withdrawal on the prevention of falls in community-dwelling people aged at least 65 years was assessed [</w:t>
      </w:r>
      <w:hyperlink r:id="rId59" w:anchor="bibr7-2042098613486829" w:history="1">
        <w:r w:rsidRPr="007431AB">
          <w:rPr>
            <w:rFonts w:ascii="Times New Roman" w:eastAsia="Times New Roman" w:hAnsi="Times New Roman" w:cs="Times New Roman"/>
            <w:color w:val="642A8F"/>
            <w:sz w:val="24"/>
            <w:szCs w:val="24"/>
            <w:u w:val="single"/>
            <w:lang w:eastAsia="en-CA"/>
          </w:rPr>
          <w:t>Campbell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1999</w:t>
        </w:r>
      </w:hyperlink>
      <w:r w:rsidRPr="007431AB">
        <w:rPr>
          <w:rFonts w:ascii="Times New Roman" w:eastAsia="Times New Roman" w:hAnsi="Times New Roman" w:cs="Times New Roman"/>
          <w:color w:val="000000"/>
          <w:sz w:val="24"/>
          <w:szCs w:val="24"/>
          <w:lang w:eastAsia="en-CA"/>
        </w:rPr>
        <w:t>]. A 66% reduction in falls was shown in patients when psychotropic drugs were gradually withdrawn compared with those who continued using psychotropic drugs. However, they also concluded that permanent withdrawal of psychotropic drugs is difficult to achieve [</w:t>
      </w:r>
      <w:hyperlink r:id="rId60" w:anchor="bibr7-2042098613486829" w:history="1">
        <w:r w:rsidRPr="007431AB">
          <w:rPr>
            <w:rFonts w:ascii="Times New Roman" w:eastAsia="Times New Roman" w:hAnsi="Times New Roman" w:cs="Times New Roman"/>
            <w:color w:val="642A8F"/>
            <w:sz w:val="24"/>
            <w:szCs w:val="24"/>
            <w:u w:val="single"/>
            <w:lang w:eastAsia="en-CA"/>
          </w:rPr>
          <w:t>Campbell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1999</w:t>
        </w:r>
      </w:hyperlink>
      <w:r w:rsidRPr="007431AB">
        <w:rPr>
          <w:rFonts w:ascii="Times New Roman" w:eastAsia="Times New Roman" w:hAnsi="Times New Roman" w:cs="Times New Roman"/>
          <w:color w:val="000000"/>
          <w:sz w:val="24"/>
          <w:szCs w:val="24"/>
          <w:lang w:eastAsia="en-CA"/>
        </w:rPr>
        <w:t>]. Nonetheless, a more recent study showed that dosage reduction of benzodiazepines can be associated with a high success rate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"bibr27-2042098613486829"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Joester</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2010</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 The same effect, a significant reduction in falls, was demonstrated with withdrawal (discontinuation or dose reduction) of cardiovascular drugs in a recent prospective cohort study [</w:t>
      </w:r>
      <w:hyperlink r:id="rId61" w:anchor="bibr54-2042098613486829" w:history="1">
        <w:r w:rsidRPr="007431AB">
          <w:rPr>
            <w:rFonts w:ascii="Times New Roman" w:eastAsia="Times New Roman" w:hAnsi="Times New Roman" w:cs="Times New Roman"/>
            <w:color w:val="642A8F"/>
            <w:sz w:val="24"/>
            <w:szCs w:val="24"/>
            <w:u w:val="single"/>
            <w:lang w:eastAsia="en-CA"/>
          </w:rPr>
          <w:t>van der Velde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2007</w:t>
        </w:r>
      </w:hyperlink>
      <w:r w:rsidRPr="007431AB">
        <w:rPr>
          <w:rFonts w:ascii="Times New Roman" w:eastAsia="Times New Roman" w:hAnsi="Times New Roman" w:cs="Times New Roman"/>
          <w:color w:val="000000"/>
          <w:sz w:val="24"/>
          <w:szCs w:val="24"/>
          <w:lang w:eastAsia="en-CA"/>
        </w:rPr>
        <w:t>]. A review of the safety of drug withdrawal in older people demonstrated that withdrawal of cardiovascular and psychotropic drugs can be done safely with adequate follow up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"bibr26-2042098613486829"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Iyer</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2008</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4799D106"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lastRenderedPageBreak/>
        <w:t>De Vries and colleagues conducted a randomized control trial to assess the effectiveness of a multifactorial fall-prevention programme in older people who are at increased risk of recurrent falls [</w:t>
      </w:r>
      <w:hyperlink r:id="rId62" w:anchor="bibr10-2042098613486829" w:history="1">
        <w:r w:rsidRPr="007431AB">
          <w:rPr>
            <w:rFonts w:ascii="Times New Roman" w:eastAsia="Times New Roman" w:hAnsi="Times New Roman" w:cs="Times New Roman"/>
            <w:color w:val="642A8F"/>
            <w:sz w:val="24"/>
            <w:szCs w:val="24"/>
            <w:u w:val="single"/>
            <w:lang w:eastAsia="en-CA"/>
          </w:rPr>
          <w:t>de Vries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2011</w:t>
        </w:r>
      </w:hyperlink>
      <w:r w:rsidRPr="007431AB">
        <w:rPr>
          <w:rFonts w:ascii="Times New Roman" w:eastAsia="Times New Roman" w:hAnsi="Times New Roman" w:cs="Times New Roman"/>
          <w:color w:val="000000"/>
          <w:sz w:val="24"/>
          <w:szCs w:val="24"/>
          <w:lang w:eastAsia="en-CA"/>
        </w:rPr>
        <w:t xml:space="preserve">]. The multifactorial intervention programme consisted of a geriatric assessment after a fall-related ED visit. This extensive assessment did not lead to a reduction of falls. Several explanations have been suggested. One explanation may be that usual care following a fall is equally effective as a multifactorial intervention. Second, increased awareness of their high fall risk after informing patients about the aim of the study may be an effective intervention. </w:t>
      </w:r>
      <w:proofErr w:type="spellStart"/>
      <w:r w:rsidRPr="007431AB">
        <w:rPr>
          <w:rFonts w:ascii="Times New Roman" w:eastAsia="Times New Roman" w:hAnsi="Times New Roman" w:cs="Times New Roman"/>
          <w:color w:val="000000"/>
          <w:sz w:val="24"/>
          <w:szCs w:val="24"/>
          <w:lang w:eastAsia="en-CA"/>
        </w:rPr>
        <w:t>Neyens</w:t>
      </w:r>
      <w:proofErr w:type="spellEnd"/>
      <w:r w:rsidRPr="007431AB">
        <w:rPr>
          <w:rFonts w:ascii="Times New Roman" w:eastAsia="Times New Roman" w:hAnsi="Times New Roman" w:cs="Times New Roman"/>
          <w:color w:val="000000"/>
          <w:sz w:val="24"/>
          <w:szCs w:val="24"/>
          <w:lang w:eastAsia="en-CA"/>
        </w:rPr>
        <w:t xml:space="preserve"> and colleagues implemented a similar kind of falls prevention programme for older adults living in a psychogeriatric nursing home. Their intervention consisted of anticipating the circumstances and causes of falls, critically reviewing and monitoring medication intake (type, number, dose and time of intake), individually designed exercise programmes, carefully (re)assessing the need for assistive and protective </w:t>
      </w:r>
      <w:proofErr w:type="gramStart"/>
      <w:r w:rsidRPr="007431AB">
        <w:rPr>
          <w:rFonts w:ascii="Times New Roman" w:eastAsia="Times New Roman" w:hAnsi="Times New Roman" w:cs="Times New Roman"/>
          <w:color w:val="000000"/>
          <w:sz w:val="24"/>
          <w:szCs w:val="24"/>
          <w:lang w:eastAsia="en-CA"/>
        </w:rPr>
        <w:t>aids, and</w:t>
      </w:r>
      <w:proofErr w:type="gramEnd"/>
      <w:r w:rsidRPr="007431AB">
        <w:rPr>
          <w:rFonts w:ascii="Times New Roman" w:eastAsia="Times New Roman" w:hAnsi="Times New Roman" w:cs="Times New Roman"/>
          <w:color w:val="000000"/>
          <w:sz w:val="24"/>
          <w:szCs w:val="24"/>
          <w:lang w:eastAsia="en-CA"/>
        </w:rPr>
        <w:t xml:space="preserve"> promoting the correct use of these aids. Their randomized controlled trial showed a reduction in the number of falls (intervention group 2.04 </w:t>
      </w:r>
      <w:r w:rsidRPr="007431AB">
        <w:rPr>
          <w:rFonts w:ascii="Times New Roman" w:eastAsia="Times New Roman" w:hAnsi="Times New Roman" w:cs="Times New Roman"/>
          <w:i/>
          <w:iCs/>
          <w:color w:val="000000"/>
          <w:sz w:val="24"/>
          <w:szCs w:val="24"/>
          <w:lang w:eastAsia="en-CA"/>
        </w:rPr>
        <w:t>versus</w:t>
      </w:r>
      <w:r w:rsidRPr="007431AB">
        <w:rPr>
          <w:rFonts w:ascii="Times New Roman" w:eastAsia="Times New Roman" w:hAnsi="Times New Roman" w:cs="Times New Roman"/>
          <w:color w:val="000000"/>
          <w:sz w:val="24"/>
          <w:szCs w:val="24"/>
          <w:lang w:eastAsia="en-CA"/>
        </w:rPr>
        <w:t> 2.54 falls annually per person). Subgroup analyses showed that fall risk declined further as patients participated longer in the intervention programme. Therefore it seems that specific groups may already benefit from structured falls prevention programmes [</w:t>
      </w:r>
      <w:proofErr w:type="spellStart"/>
      <w:r w:rsidRPr="007431AB">
        <w:rPr>
          <w:rFonts w:ascii="Times New Roman" w:eastAsia="Times New Roman" w:hAnsi="Times New Roman" w:cs="Times New Roman"/>
          <w:color w:val="000000"/>
          <w:sz w:val="24"/>
          <w:szCs w:val="24"/>
          <w:lang w:eastAsia="en-CA"/>
        </w:rPr>
        <w:fldChar w:fldCharType="begin"/>
      </w:r>
      <w:r w:rsidRPr="007431AB">
        <w:rPr>
          <w:rFonts w:ascii="Times New Roman" w:eastAsia="Times New Roman" w:hAnsi="Times New Roman" w:cs="Times New Roman"/>
          <w:color w:val="000000"/>
          <w:sz w:val="24"/>
          <w:szCs w:val="24"/>
          <w:lang w:eastAsia="en-CA"/>
        </w:rPr>
        <w:instrText xml:space="preserve"> HYPERLINK "https://www.ncbi.nlm.nih.gov/pmc/articles/PMC4125318/" \l "bibr36-2042098613486829" </w:instrText>
      </w:r>
      <w:r w:rsidRPr="007431AB">
        <w:rPr>
          <w:rFonts w:ascii="Times New Roman" w:eastAsia="Times New Roman" w:hAnsi="Times New Roman" w:cs="Times New Roman"/>
          <w:color w:val="000000"/>
          <w:sz w:val="24"/>
          <w:szCs w:val="24"/>
          <w:lang w:eastAsia="en-CA"/>
        </w:rPr>
        <w:fldChar w:fldCharType="separate"/>
      </w:r>
      <w:r w:rsidRPr="007431AB">
        <w:rPr>
          <w:rFonts w:ascii="Times New Roman" w:eastAsia="Times New Roman" w:hAnsi="Times New Roman" w:cs="Times New Roman"/>
          <w:color w:val="642A8F"/>
          <w:sz w:val="24"/>
          <w:szCs w:val="24"/>
          <w:u w:val="single"/>
          <w:lang w:eastAsia="en-CA"/>
        </w:rPr>
        <w:t>Neyens</w:t>
      </w:r>
      <w:proofErr w:type="spellEnd"/>
      <w:r w:rsidRPr="007431AB">
        <w:rPr>
          <w:rFonts w:ascii="Times New Roman" w:eastAsia="Times New Roman" w:hAnsi="Times New Roman" w:cs="Times New Roman"/>
          <w:color w:val="642A8F"/>
          <w:sz w:val="24"/>
          <w:szCs w:val="24"/>
          <w:u w:val="single"/>
          <w:lang w:eastAsia="en-CA"/>
        </w:rPr>
        <w:t> </w:t>
      </w:r>
      <w:r w:rsidRPr="007431AB">
        <w:rPr>
          <w:rFonts w:ascii="Times New Roman" w:eastAsia="Times New Roman" w:hAnsi="Times New Roman" w:cs="Times New Roman"/>
          <w:i/>
          <w:iCs/>
          <w:color w:val="642A8F"/>
          <w:sz w:val="24"/>
          <w:szCs w:val="24"/>
          <w:u w:val="single"/>
          <w:lang w:eastAsia="en-CA"/>
        </w:rPr>
        <w:t>et al.</w:t>
      </w:r>
      <w:r w:rsidRPr="007431AB">
        <w:rPr>
          <w:rFonts w:ascii="Times New Roman" w:eastAsia="Times New Roman" w:hAnsi="Times New Roman" w:cs="Times New Roman"/>
          <w:color w:val="642A8F"/>
          <w:sz w:val="24"/>
          <w:szCs w:val="24"/>
          <w:u w:val="single"/>
          <w:lang w:eastAsia="en-CA"/>
        </w:rPr>
        <w:t> 2009</w:t>
      </w:r>
      <w:r w:rsidRPr="007431AB">
        <w:rPr>
          <w:rFonts w:ascii="Times New Roman" w:eastAsia="Times New Roman" w:hAnsi="Times New Roman" w:cs="Times New Roman"/>
          <w:color w:val="000000"/>
          <w:sz w:val="24"/>
          <w:szCs w:val="24"/>
          <w:lang w:eastAsia="en-CA"/>
        </w:rPr>
        <w:fldChar w:fldCharType="end"/>
      </w:r>
      <w:r w:rsidRPr="007431AB">
        <w:rPr>
          <w:rFonts w:ascii="Times New Roman" w:eastAsia="Times New Roman" w:hAnsi="Times New Roman" w:cs="Times New Roman"/>
          <w:color w:val="000000"/>
          <w:sz w:val="24"/>
          <w:szCs w:val="24"/>
          <w:lang w:eastAsia="en-CA"/>
        </w:rPr>
        <w:t>].</w:t>
      </w:r>
    </w:p>
    <w:p w14:paraId="72F4AE5D"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Although fall incidents are the main mechanism for injuries, underlying medical conditions, such as osteoporosis, places older individuals at higher risk of injurious falls. The prevention of falls is a first and important </w:t>
      </w:r>
      <w:proofErr w:type="gramStart"/>
      <w:r w:rsidRPr="007431AB">
        <w:rPr>
          <w:rFonts w:ascii="Times New Roman" w:eastAsia="Times New Roman" w:hAnsi="Times New Roman" w:cs="Times New Roman"/>
          <w:color w:val="000000"/>
          <w:sz w:val="24"/>
          <w:szCs w:val="24"/>
          <w:lang w:eastAsia="en-CA"/>
        </w:rPr>
        <w:t>step, but</w:t>
      </w:r>
      <w:proofErr w:type="gramEnd"/>
      <w:r w:rsidRPr="007431AB">
        <w:rPr>
          <w:rFonts w:ascii="Times New Roman" w:eastAsia="Times New Roman" w:hAnsi="Times New Roman" w:cs="Times New Roman"/>
          <w:color w:val="000000"/>
          <w:sz w:val="24"/>
          <w:szCs w:val="24"/>
          <w:lang w:eastAsia="en-CA"/>
        </w:rPr>
        <w:t xml:space="preserve"> should be accompanied by optimizing the patient’s condition and medication use to reduced injuries due to falls.</w:t>
      </w:r>
    </w:p>
    <w:p w14:paraId="2FD22829"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63" w:tooltip="Go to other sections in this page" w:history="1">
        <w:r w:rsidRPr="007431AB">
          <w:rPr>
            <w:rFonts w:ascii="Arial" w:eastAsia="Times New Roman" w:hAnsi="Arial" w:cs="Arial"/>
            <w:color w:val="642A8F"/>
            <w:sz w:val="24"/>
            <w:szCs w:val="24"/>
            <w:u w:val="single"/>
            <w:lang w:eastAsia="en-CA"/>
          </w:rPr>
          <w:t>Go to:</w:t>
        </w:r>
      </w:hyperlink>
    </w:p>
    <w:p w14:paraId="2C5B88D5"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Conclusion</w:t>
      </w:r>
    </w:p>
    <w:p w14:paraId="4E9D2859"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Falls are a major public health problem in ageing populations worldwide. Fall-related injuries have large societal and individual consequences. Programmes to prevent falls and fractures should be implemented to reduce the associated injury, mortality, costs and substantial burden on healthcare workers and institutions. Several risk factors have been identified, including the use of fall risk increasing drugs. Drug prescriptions for older patients require close attention, particularly since drug metabolism, efficacy and ADRs vary significantly between older and younger individuals. Future research is necessary to show the best strategies to avoid multiple drug use and their interactions among the increasing older population. Another important aspect is that healthcare professionals are aware of drugs being a potential cause for falls.</w:t>
      </w:r>
    </w:p>
    <w:p w14:paraId="7E21B76B"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64" w:tooltip="Go to other sections in this page" w:history="1">
        <w:r w:rsidRPr="007431AB">
          <w:rPr>
            <w:rFonts w:ascii="Arial" w:eastAsia="Times New Roman" w:hAnsi="Arial" w:cs="Arial"/>
            <w:color w:val="642A8F"/>
            <w:sz w:val="24"/>
            <w:szCs w:val="24"/>
            <w:u w:val="single"/>
            <w:lang w:eastAsia="en-CA"/>
          </w:rPr>
          <w:t>Go to:</w:t>
        </w:r>
      </w:hyperlink>
    </w:p>
    <w:p w14:paraId="6E8682F2"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Footnotes</w:t>
      </w:r>
    </w:p>
    <w:p w14:paraId="395A8084" w14:textId="77777777" w:rsidR="007431AB" w:rsidRPr="007431AB" w:rsidRDefault="007431AB" w:rsidP="007431AB">
      <w:pPr>
        <w:spacing w:after="166" w:line="240" w:lineRule="auto"/>
        <w:rPr>
          <w:rFonts w:ascii="Arial" w:eastAsia="Times New Roman" w:hAnsi="Arial" w:cs="Arial"/>
          <w:color w:val="000000"/>
          <w:sz w:val="19"/>
          <w:szCs w:val="19"/>
          <w:lang w:eastAsia="en-CA"/>
        </w:rPr>
      </w:pPr>
      <w:r w:rsidRPr="007431AB">
        <w:rPr>
          <w:rFonts w:ascii="Arial" w:eastAsia="Times New Roman" w:hAnsi="Arial" w:cs="Arial"/>
          <w:b/>
          <w:bCs/>
          <w:color w:val="000000"/>
          <w:sz w:val="19"/>
          <w:szCs w:val="19"/>
          <w:lang w:eastAsia="en-CA"/>
        </w:rPr>
        <w:t>Funding:</w:t>
      </w:r>
      <w:r w:rsidRPr="007431AB">
        <w:rPr>
          <w:rFonts w:ascii="Arial" w:eastAsia="Times New Roman" w:hAnsi="Arial" w:cs="Arial"/>
          <w:color w:val="000000"/>
          <w:sz w:val="19"/>
          <w:szCs w:val="19"/>
          <w:lang w:eastAsia="en-CA"/>
        </w:rPr>
        <w:t> This research received no specific grant from any funding agency in the public, commercial, or not-for-profit sectors.</w:t>
      </w:r>
    </w:p>
    <w:p w14:paraId="60011281" w14:textId="77777777" w:rsidR="007431AB" w:rsidRPr="007431AB" w:rsidRDefault="007431AB" w:rsidP="007431AB">
      <w:pPr>
        <w:spacing w:before="166" w:line="240" w:lineRule="auto"/>
        <w:rPr>
          <w:rFonts w:ascii="Arial" w:eastAsia="Times New Roman" w:hAnsi="Arial" w:cs="Arial"/>
          <w:color w:val="000000"/>
          <w:sz w:val="19"/>
          <w:szCs w:val="19"/>
          <w:lang w:eastAsia="en-CA"/>
        </w:rPr>
      </w:pPr>
      <w:r w:rsidRPr="007431AB">
        <w:rPr>
          <w:rFonts w:ascii="Arial" w:eastAsia="Times New Roman" w:hAnsi="Arial" w:cs="Arial"/>
          <w:b/>
          <w:bCs/>
          <w:color w:val="000000"/>
          <w:sz w:val="19"/>
          <w:szCs w:val="19"/>
          <w:lang w:eastAsia="en-CA"/>
        </w:rPr>
        <w:t>Conflict of interest statement:</w:t>
      </w:r>
      <w:r w:rsidRPr="007431AB">
        <w:rPr>
          <w:rFonts w:ascii="Arial" w:eastAsia="Times New Roman" w:hAnsi="Arial" w:cs="Arial"/>
          <w:color w:val="000000"/>
          <w:sz w:val="19"/>
          <w:szCs w:val="19"/>
          <w:lang w:eastAsia="en-CA"/>
        </w:rPr>
        <w:t> The authors declare that there is no personal or financial conflict of interest.</w:t>
      </w:r>
    </w:p>
    <w:p w14:paraId="242FD4CD"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65" w:tooltip="Go to other sections in this page" w:history="1">
        <w:r w:rsidRPr="007431AB">
          <w:rPr>
            <w:rFonts w:ascii="Arial" w:eastAsia="Times New Roman" w:hAnsi="Arial" w:cs="Arial"/>
            <w:color w:val="642A8F"/>
            <w:sz w:val="24"/>
            <w:szCs w:val="24"/>
            <w:u w:val="single"/>
            <w:lang w:eastAsia="en-CA"/>
          </w:rPr>
          <w:t>Go to:</w:t>
        </w:r>
      </w:hyperlink>
    </w:p>
    <w:p w14:paraId="5A039290"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Contributor Information</w:t>
      </w:r>
    </w:p>
    <w:p w14:paraId="561A9333"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lastRenderedPageBreak/>
        <w:t>Marlies</w:t>
      </w:r>
      <w:proofErr w:type="spellEnd"/>
      <w:r w:rsidRPr="007431AB">
        <w:rPr>
          <w:rFonts w:ascii="Times New Roman" w:eastAsia="Times New Roman" w:hAnsi="Times New Roman" w:cs="Times New Roman"/>
          <w:color w:val="000000"/>
          <w:sz w:val="24"/>
          <w:szCs w:val="24"/>
          <w:lang w:eastAsia="en-CA"/>
        </w:rPr>
        <w:t xml:space="preserve"> R. de Jong, </w:t>
      </w:r>
      <w:r w:rsidRPr="007431AB">
        <w:rPr>
          <w:rFonts w:ascii="Times New Roman" w:eastAsia="Times New Roman" w:hAnsi="Times New Roman" w:cs="Times New Roman"/>
          <w:vanish/>
          <w:color w:val="000000"/>
          <w:sz w:val="24"/>
          <w:szCs w:val="24"/>
          <w:lang w:val="en" w:eastAsia="en-CA"/>
        </w:rPr>
        <w:t>Reinier de Graaf Group, Departement of Surgery, Reinier de Graafweg 3-11, 2625 AD Delft, The Netherlands.</w:t>
      </w:r>
    </w:p>
    <w:p w14:paraId="548DF327"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val="es-ES" w:eastAsia="en-CA"/>
        </w:rPr>
      </w:pPr>
      <w:r w:rsidRPr="007431AB">
        <w:rPr>
          <w:rFonts w:ascii="Times New Roman" w:eastAsia="Times New Roman" w:hAnsi="Times New Roman" w:cs="Times New Roman"/>
          <w:color w:val="000000"/>
          <w:sz w:val="24"/>
          <w:szCs w:val="24"/>
          <w:lang w:val="es-ES" w:eastAsia="en-CA"/>
        </w:rPr>
        <w:t xml:space="preserve">Maarten Van </w:t>
      </w:r>
      <w:proofErr w:type="spellStart"/>
      <w:r w:rsidRPr="007431AB">
        <w:rPr>
          <w:rFonts w:ascii="Times New Roman" w:eastAsia="Times New Roman" w:hAnsi="Times New Roman" w:cs="Times New Roman"/>
          <w:color w:val="000000"/>
          <w:sz w:val="24"/>
          <w:szCs w:val="24"/>
          <w:lang w:val="es-ES" w:eastAsia="en-CA"/>
        </w:rPr>
        <w:t>der</w:t>
      </w:r>
      <w:proofErr w:type="spellEnd"/>
      <w:r w:rsidRPr="007431AB">
        <w:rPr>
          <w:rFonts w:ascii="Times New Roman" w:eastAsia="Times New Roman" w:hAnsi="Times New Roman" w:cs="Times New Roman"/>
          <w:color w:val="000000"/>
          <w:sz w:val="24"/>
          <w:szCs w:val="24"/>
          <w:lang w:val="es-ES" w:eastAsia="en-CA"/>
        </w:rPr>
        <w:t xml:space="preserve"> </w:t>
      </w:r>
      <w:proofErr w:type="spellStart"/>
      <w:r w:rsidRPr="007431AB">
        <w:rPr>
          <w:rFonts w:ascii="Times New Roman" w:eastAsia="Times New Roman" w:hAnsi="Times New Roman" w:cs="Times New Roman"/>
          <w:color w:val="000000"/>
          <w:sz w:val="24"/>
          <w:szCs w:val="24"/>
          <w:lang w:val="es-ES" w:eastAsia="en-CA"/>
        </w:rPr>
        <w:t>Elst</w:t>
      </w:r>
      <w:proofErr w:type="spellEnd"/>
      <w:r w:rsidRPr="007431AB">
        <w:rPr>
          <w:rFonts w:ascii="Times New Roman" w:eastAsia="Times New Roman" w:hAnsi="Times New Roman" w:cs="Times New Roman"/>
          <w:color w:val="000000"/>
          <w:sz w:val="24"/>
          <w:szCs w:val="24"/>
          <w:lang w:val="es-ES" w:eastAsia="en-CA"/>
        </w:rPr>
        <w:t>, </w:t>
      </w:r>
      <w:r w:rsidRPr="007431AB">
        <w:rPr>
          <w:rFonts w:ascii="Times New Roman" w:eastAsia="Times New Roman" w:hAnsi="Times New Roman" w:cs="Times New Roman"/>
          <w:vanish/>
          <w:color w:val="000000"/>
          <w:sz w:val="24"/>
          <w:szCs w:val="24"/>
          <w:lang w:val="es-ES" w:eastAsia="en-CA"/>
        </w:rPr>
        <w:t>Department of Surgery, Reinier de Graaf Group, Delft, The Netherlands.</w:t>
      </w:r>
    </w:p>
    <w:p w14:paraId="64B60106" w14:textId="77777777" w:rsidR="007431AB" w:rsidRPr="007431AB" w:rsidRDefault="007431AB" w:rsidP="007431AB">
      <w:pPr>
        <w:spacing w:before="166" w:after="166" w:line="240" w:lineRule="auto"/>
        <w:rPr>
          <w:rFonts w:ascii="Times New Roman" w:eastAsia="Times New Roman" w:hAnsi="Times New Roman" w:cs="Times New Roman"/>
          <w:color w:val="000000"/>
          <w:sz w:val="24"/>
          <w:szCs w:val="24"/>
          <w:lang w:val="es-ES" w:eastAsia="en-CA"/>
        </w:rPr>
      </w:pPr>
      <w:proofErr w:type="spellStart"/>
      <w:r w:rsidRPr="007431AB">
        <w:rPr>
          <w:rFonts w:ascii="Times New Roman" w:eastAsia="Times New Roman" w:hAnsi="Times New Roman" w:cs="Times New Roman"/>
          <w:color w:val="000000"/>
          <w:sz w:val="24"/>
          <w:szCs w:val="24"/>
          <w:lang w:val="es-ES" w:eastAsia="en-CA"/>
        </w:rPr>
        <w:t>Klaas</w:t>
      </w:r>
      <w:proofErr w:type="spellEnd"/>
      <w:r w:rsidRPr="007431AB">
        <w:rPr>
          <w:rFonts w:ascii="Times New Roman" w:eastAsia="Times New Roman" w:hAnsi="Times New Roman" w:cs="Times New Roman"/>
          <w:color w:val="000000"/>
          <w:sz w:val="24"/>
          <w:szCs w:val="24"/>
          <w:lang w:val="es-ES" w:eastAsia="en-CA"/>
        </w:rPr>
        <w:t xml:space="preserve"> A. </w:t>
      </w:r>
      <w:proofErr w:type="spellStart"/>
      <w:r w:rsidRPr="007431AB">
        <w:rPr>
          <w:rFonts w:ascii="Times New Roman" w:eastAsia="Times New Roman" w:hAnsi="Times New Roman" w:cs="Times New Roman"/>
          <w:color w:val="000000"/>
          <w:sz w:val="24"/>
          <w:szCs w:val="24"/>
          <w:lang w:val="es-ES" w:eastAsia="en-CA"/>
        </w:rPr>
        <w:t>Hartholt</w:t>
      </w:r>
      <w:proofErr w:type="spellEnd"/>
      <w:r w:rsidRPr="007431AB">
        <w:rPr>
          <w:rFonts w:ascii="Times New Roman" w:eastAsia="Times New Roman" w:hAnsi="Times New Roman" w:cs="Times New Roman"/>
          <w:color w:val="000000"/>
          <w:sz w:val="24"/>
          <w:szCs w:val="24"/>
          <w:lang w:val="es-ES" w:eastAsia="en-CA"/>
        </w:rPr>
        <w:t>, </w:t>
      </w:r>
      <w:r w:rsidRPr="007431AB">
        <w:rPr>
          <w:rFonts w:ascii="Times New Roman" w:eastAsia="Times New Roman" w:hAnsi="Times New Roman" w:cs="Times New Roman"/>
          <w:vanish/>
          <w:color w:val="000000"/>
          <w:sz w:val="24"/>
          <w:szCs w:val="24"/>
          <w:lang w:val="es-ES" w:eastAsia="en-CA"/>
        </w:rPr>
        <w:t>Department of Surgery, Reinier de Graaf Group, Delft, and Department of Geriatrics, Erasmus MC, University Medical Center Rotterdam, Rotterdam, The Netherlands.</w:t>
      </w:r>
    </w:p>
    <w:p w14:paraId="35522590" w14:textId="77777777" w:rsidR="007431AB" w:rsidRPr="007431AB" w:rsidRDefault="007431AB" w:rsidP="007431AB">
      <w:pPr>
        <w:spacing w:after="0" w:line="240" w:lineRule="auto"/>
        <w:jc w:val="right"/>
        <w:rPr>
          <w:rFonts w:ascii="Arial" w:eastAsia="Times New Roman" w:hAnsi="Arial" w:cs="Arial"/>
          <w:color w:val="000000"/>
          <w:sz w:val="24"/>
          <w:szCs w:val="24"/>
          <w:lang w:eastAsia="en-CA"/>
        </w:rPr>
      </w:pPr>
      <w:hyperlink r:id="rId66" w:tooltip="Go to other sections in this page" w:history="1">
        <w:r w:rsidRPr="007431AB">
          <w:rPr>
            <w:rFonts w:ascii="Arial" w:eastAsia="Times New Roman" w:hAnsi="Arial" w:cs="Arial"/>
            <w:color w:val="642A8F"/>
            <w:sz w:val="24"/>
            <w:szCs w:val="24"/>
            <w:u w:val="single"/>
            <w:lang w:eastAsia="en-CA"/>
          </w:rPr>
          <w:t>Go to:</w:t>
        </w:r>
      </w:hyperlink>
    </w:p>
    <w:p w14:paraId="2B77CBBF" w14:textId="77777777" w:rsidR="007431AB" w:rsidRPr="007431AB" w:rsidRDefault="007431AB" w:rsidP="007431AB">
      <w:pPr>
        <w:pBdr>
          <w:bottom w:val="single" w:sz="6" w:space="0" w:color="97B0C8"/>
        </w:pBdr>
        <w:spacing w:before="270" w:after="0" w:line="267" w:lineRule="atLeast"/>
        <w:outlineLvl w:val="1"/>
        <w:rPr>
          <w:rFonts w:ascii="Arial" w:eastAsia="Times New Roman" w:hAnsi="Arial" w:cs="Arial"/>
          <w:b/>
          <w:bCs/>
          <w:color w:val="985735"/>
          <w:sz w:val="27"/>
          <w:szCs w:val="27"/>
          <w:lang w:eastAsia="en-CA"/>
        </w:rPr>
      </w:pPr>
      <w:r w:rsidRPr="007431AB">
        <w:rPr>
          <w:rFonts w:ascii="Arial" w:eastAsia="Times New Roman" w:hAnsi="Arial" w:cs="Arial"/>
          <w:b/>
          <w:bCs/>
          <w:color w:val="985735"/>
          <w:sz w:val="27"/>
          <w:szCs w:val="27"/>
          <w:lang w:eastAsia="en-CA"/>
        </w:rPr>
        <w:t>References</w:t>
      </w:r>
    </w:p>
    <w:p w14:paraId="2DD02E56"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Barat I., Andreasen F., </w:t>
      </w:r>
      <w:proofErr w:type="spellStart"/>
      <w:r w:rsidRPr="007431AB">
        <w:rPr>
          <w:rFonts w:ascii="Times New Roman" w:eastAsia="Times New Roman" w:hAnsi="Times New Roman" w:cs="Times New Roman"/>
          <w:color w:val="000000"/>
          <w:sz w:val="24"/>
          <w:szCs w:val="24"/>
          <w:lang w:eastAsia="en-CA"/>
        </w:rPr>
        <w:t>Damsgaard</w:t>
      </w:r>
      <w:proofErr w:type="spellEnd"/>
      <w:r w:rsidRPr="007431AB">
        <w:rPr>
          <w:rFonts w:ascii="Times New Roman" w:eastAsia="Times New Roman" w:hAnsi="Times New Roman" w:cs="Times New Roman"/>
          <w:color w:val="000000"/>
          <w:sz w:val="24"/>
          <w:szCs w:val="24"/>
          <w:lang w:eastAsia="en-CA"/>
        </w:rPr>
        <w:t xml:space="preserve"> E. (2001) Drug therapy in the elderly: what doctors </w:t>
      </w:r>
      <w:proofErr w:type="gramStart"/>
      <w:r w:rsidRPr="007431AB">
        <w:rPr>
          <w:rFonts w:ascii="Times New Roman" w:eastAsia="Times New Roman" w:hAnsi="Times New Roman" w:cs="Times New Roman"/>
          <w:color w:val="000000"/>
          <w:sz w:val="24"/>
          <w:szCs w:val="24"/>
          <w:lang w:eastAsia="en-CA"/>
        </w:rPr>
        <w:t>believe</w:t>
      </w:r>
      <w:proofErr w:type="gramEnd"/>
      <w:r w:rsidRPr="007431AB">
        <w:rPr>
          <w:rFonts w:ascii="Times New Roman" w:eastAsia="Times New Roman" w:hAnsi="Times New Roman" w:cs="Times New Roman"/>
          <w:color w:val="000000"/>
          <w:sz w:val="24"/>
          <w:szCs w:val="24"/>
          <w:lang w:eastAsia="en-CA"/>
        </w:rPr>
        <w:t xml:space="preserve"> and patients actually do. Br J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51: 615–622 [</w:t>
      </w:r>
      <w:hyperlink r:id="rId67"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68"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68E6BD1"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Beijer</w:t>
      </w:r>
      <w:proofErr w:type="spellEnd"/>
      <w:r w:rsidRPr="007431AB">
        <w:rPr>
          <w:rFonts w:ascii="Times New Roman" w:eastAsia="Times New Roman" w:hAnsi="Times New Roman" w:cs="Times New Roman"/>
          <w:color w:val="000000"/>
          <w:sz w:val="24"/>
          <w:szCs w:val="24"/>
          <w:lang w:eastAsia="en-CA"/>
        </w:rPr>
        <w:t xml:space="preserve"> H., de </w:t>
      </w:r>
      <w:proofErr w:type="spellStart"/>
      <w:r w:rsidRPr="007431AB">
        <w:rPr>
          <w:rFonts w:ascii="Times New Roman" w:eastAsia="Times New Roman" w:hAnsi="Times New Roman" w:cs="Times New Roman"/>
          <w:color w:val="000000"/>
          <w:sz w:val="24"/>
          <w:szCs w:val="24"/>
          <w:lang w:eastAsia="en-CA"/>
        </w:rPr>
        <w:t>Blaey</w:t>
      </w:r>
      <w:proofErr w:type="spellEnd"/>
      <w:r w:rsidRPr="007431AB">
        <w:rPr>
          <w:rFonts w:ascii="Times New Roman" w:eastAsia="Times New Roman" w:hAnsi="Times New Roman" w:cs="Times New Roman"/>
          <w:color w:val="000000"/>
          <w:sz w:val="24"/>
          <w:szCs w:val="24"/>
          <w:lang w:eastAsia="en-CA"/>
        </w:rPr>
        <w:t xml:space="preserve"> C. (2002) Hospitalisations caused by adverse drug reactions (ADR): a meta-analysis of observational studies. Pharm World Sci 24: 46–54 [</w:t>
      </w:r>
      <w:hyperlink r:id="rId6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0CAEAD8"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Blazer D., Hybels C., </w:t>
      </w:r>
      <w:proofErr w:type="spellStart"/>
      <w:r w:rsidRPr="007431AB">
        <w:rPr>
          <w:rFonts w:ascii="Times New Roman" w:eastAsia="Times New Roman" w:hAnsi="Times New Roman" w:cs="Times New Roman"/>
          <w:color w:val="000000"/>
          <w:sz w:val="24"/>
          <w:szCs w:val="24"/>
          <w:lang w:eastAsia="en-CA"/>
        </w:rPr>
        <w:t>Simonsick</w:t>
      </w:r>
      <w:proofErr w:type="spellEnd"/>
      <w:r w:rsidRPr="007431AB">
        <w:rPr>
          <w:rFonts w:ascii="Times New Roman" w:eastAsia="Times New Roman" w:hAnsi="Times New Roman" w:cs="Times New Roman"/>
          <w:color w:val="000000"/>
          <w:sz w:val="24"/>
          <w:szCs w:val="24"/>
          <w:lang w:eastAsia="en-CA"/>
        </w:rPr>
        <w:t xml:space="preserve"> E., Hanlon J. (2000) Sedative, hypnotic, and antianxiety medication use in an aging cohort over ten years: a racial comparison.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48: 1073–1079 [</w:t>
      </w:r>
      <w:hyperlink r:id="rId7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3A049F8"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Budnitz</w:t>
      </w:r>
      <w:proofErr w:type="spellEnd"/>
      <w:r w:rsidRPr="007431AB">
        <w:rPr>
          <w:rFonts w:ascii="Times New Roman" w:eastAsia="Times New Roman" w:hAnsi="Times New Roman" w:cs="Times New Roman"/>
          <w:color w:val="000000"/>
          <w:sz w:val="24"/>
          <w:szCs w:val="24"/>
          <w:lang w:eastAsia="en-CA"/>
        </w:rPr>
        <w:t xml:space="preserve"> D., Shehab N., </w:t>
      </w:r>
      <w:proofErr w:type="spellStart"/>
      <w:r w:rsidRPr="007431AB">
        <w:rPr>
          <w:rFonts w:ascii="Times New Roman" w:eastAsia="Times New Roman" w:hAnsi="Times New Roman" w:cs="Times New Roman"/>
          <w:color w:val="000000"/>
          <w:sz w:val="24"/>
          <w:szCs w:val="24"/>
          <w:lang w:eastAsia="en-CA"/>
        </w:rPr>
        <w:t>Kegler</w:t>
      </w:r>
      <w:proofErr w:type="spellEnd"/>
      <w:r w:rsidRPr="007431AB">
        <w:rPr>
          <w:rFonts w:ascii="Times New Roman" w:eastAsia="Times New Roman" w:hAnsi="Times New Roman" w:cs="Times New Roman"/>
          <w:color w:val="000000"/>
          <w:sz w:val="24"/>
          <w:szCs w:val="24"/>
          <w:lang w:eastAsia="en-CA"/>
        </w:rPr>
        <w:t xml:space="preserve"> S., Richards C. (2007) Medication use leading to emergency department visits for adverse drug events in older adults. Ann Intern Med 147: 755–765 [</w:t>
      </w:r>
      <w:hyperlink r:id="rId71"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7427F57"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Cameron I., Murray G., Gillespie L., Robertson M., Hill K., Cumming R.,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(2010) Interventions for preventing falls in older people in nursing care facilities and hospitals. Cochrane Database </w:t>
      </w:r>
      <w:proofErr w:type="spellStart"/>
      <w:r w:rsidRPr="007431AB">
        <w:rPr>
          <w:rFonts w:ascii="Times New Roman" w:eastAsia="Times New Roman" w:hAnsi="Times New Roman" w:cs="Times New Roman"/>
          <w:color w:val="000000"/>
          <w:sz w:val="24"/>
          <w:szCs w:val="24"/>
          <w:lang w:eastAsia="en-CA"/>
        </w:rPr>
        <w:t>Syst</w:t>
      </w:r>
      <w:proofErr w:type="spellEnd"/>
      <w:r w:rsidRPr="007431AB">
        <w:rPr>
          <w:rFonts w:ascii="Times New Roman" w:eastAsia="Times New Roman" w:hAnsi="Times New Roman" w:cs="Times New Roman"/>
          <w:color w:val="000000"/>
          <w:sz w:val="24"/>
          <w:szCs w:val="24"/>
          <w:lang w:eastAsia="en-CA"/>
        </w:rPr>
        <w:t xml:space="preserve"> Rev 20: CD005465. [</w:t>
      </w:r>
      <w:hyperlink r:id="rId7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D1C1B0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Campbell A., </w:t>
      </w:r>
      <w:proofErr w:type="spellStart"/>
      <w:r w:rsidRPr="007431AB">
        <w:rPr>
          <w:rFonts w:ascii="Times New Roman" w:eastAsia="Times New Roman" w:hAnsi="Times New Roman" w:cs="Times New Roman"/>
          <w:color w:val="000000"/>
          <w:sz w:val="24"/>
          <w:szCs w:val="24"/>
          <w:lang w:eastAsia="en-CA"/>
        </w:rPr>
        <w:t>Borrie</w:t>
      </w:r>
      <w:proofErr w:type="spellEnd"/>
      <w:r w:rsidRPr="007431AB">
        <w:rPr>
          <w:rFonts w:ascii="Times New Roman" w:eastAsia="Times New Roman" w:hAnsi="Times New Roman" w:cs="Times New Roman"/>
          <w:color w:val="000000"/>
          <w:sz w:val="24"/>
          <w:szCs w:val="24"/>
          <w:lang w:eastAsia="en-CA"/>
        </w:rPr>
        <w:t xml:space="preserve"> M., Spears G., Jackson S., Brown J., Fitzgerald J. (1990) Circumstances and consequences of falls experienced by </w:t>
      </w:r>
      <w:proofErr w:type="gramStart"/>
      <w:r w:rsidRPr="007431AB">
        <w:rPr>
          <w:rFonts w:ascii="Times New Roman" w:eastAsia="Times New Roman" w:hAnsi="Times New Roman" w:cs="Times New Roman"/>
          <w:color w:val="000000"/>
          <w:sz w:val="24"/>
          <w:szCs w:val="24"/>
          <w:lang w:eastAsia="en-CA"/>
        </w:rPr>
        <w:t>a community population 70 years</w:t>
      </w:r>
      <w:proofErr w:type="gramEnd"/>
      <w:r w:rsidRPr="007431AB">
        <w:rPr>
          <w:rFonts w:ascii="Times New Roman" w:eastAsia="Times New Roman" w:hAnsi="Times New Roman" w:cs="Times New Roman"/>
          <w:color w:val="000000"/>
          <w:sz w:val="24"/>
          <w:szCs w:val="24"/>
          <w:lang w:eastAsia="en-CA"/>
        </w:rPr>
        <w:t xml:space="preserve"> and over during a prospective study. Age Ageing 19: 136–141 [</w:t>
      </w:r>
      <w:hyperlink r:id="rId7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A4691AC"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Campbell A., Robertson M., Gardner M., Norton R., Buchner D. (1999) Psychotropic medication withdrawal and a home-based exercise program to prevent falls: a randomized, controlled trial.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47: 850–853 [</w:t>
      </w:r>
      <w:hyperlink r:id="rId74"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04F460F"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Centers for Disease Control and Prevention (2003) Web-based Injury Statistics Query and Reporting System (WISQARS). Available at: </w:t>
      </w:r>
      <w:hyperlink r:id="rId75" w:tgtFrame="pmc_ext" w:history="1">
        <w:r w:rsidRPr="007431AB">
          <w:rPr>
            <w:rFonts w:ascii="Times New Roman" w:eastAsia="Times New Roman" w:hAnsi="Times New Roman" w:cs="Times New Roman"/>
            <w:color w:val="642A8F"/>
            <w:sz w:val="24"/>
            <w:szCs w:val="24"/>
            <w:u w:val="single"/>
            <w:lang w:eastAsia="en-CA"/>
          </w:rPr>
          <w:t>http://www.cdc.gov/injury/wisqars</w:t>
        </w:r>
      </w:hyperlink>
      <w:r w:rsidRPr="007431AB">
        <w:rPr>
          <w:rFonts w:ascii="Times New Roman" w:eastAsia="Times New Roman" w:hAnsi="Times New Roman" w:cs="Times New Roman"/>
          <w:color w:val="000000"/>
          <w:sz w:val="24"/>
          <w:szCs w:val="24"/>
          <w:lang w:eastAsia="en-CA"/>
        </w:rPr>
        <w:t> (accessed 31 March 2013).</w:t>
      </w:r>
    </w:p>
    <w:p w14:paraId="4C3F675E"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Centers for Disease Control and Prevention, National Center for Injury Prevention and Control, Division of Unintentional Injury Prevention (2008) Falls among older adults: an overview. Available at: </w:t>
      </w:r>
      <w:hyperlink r:id="rId76" w:tgtFrame="pmc_ext" w:history="1">
        <w:r w:rsidRPr="007431AB">
          <w:rPr>
            <w:rFonts w:ascii="Times New Roman" w:eastAsia="Times New Roman" w:hAnsi="Times New Roman" w:cs="Times New Roman"/>
            <w:color w:val="642A8F"/>
            <w:sz w:val="24"/>
            <w:szCs w:val="24"/>
            <w:u w:val="single"/>
            <w:lang w:eastAsia="en-CA"/>
          </w:rPr>
          <w:t>http://www.cdc.gov/homeandrecreationalsafety/Falls/adultfalls.html</w:t>
        </w:r>
      </w:hyperlink>
      <w:r w:rsidRPr="007431AB">
        <w:rPr>
          <w:rFonts w:ascii="Times New Roman" w:eastAsia="Times New Roman" w:hAnsi="Times New Roman" w:cs="Times New Roman"/>
          <w:color w:val="000000"/>
          <w:sz w:val="24"/>
          <w:szCs w:val="24"/>
          <w:lang w:eastAsia="en-CA"/>
        </w:rPr>
        <w:t> (accessed 31 March 2013).</w:t>
      </w:r>
    </w:p>
    <w:p w14:paraId="376D6AA6"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gramStart"/>
      <w:r w:rsidRPr="007431AB">
        <w:rPr>
          <w:rFonts w:ascii="Times New Roman" w:eastAsia="Times New Roman" w:hAnsi="Times New Roman" w:cs="Times New Roman"/>
          <w:color w:val="000000"/>
          <w:sz w:val="24"/>
          <w:szCs w:val="24"/>
          <w:lang w:val="fr-FR" w:eastAsia="en-CA"/>
        </w:rPr>
        <w:t>de</w:t>
      </w:r>
      <w:proofErr w:type="gramEnd"/>
      <w:r w:rsidRPr="007431AB">
        <w:rPr>
          <w:rFonts w:ascii="Times New Roman" w:eastAsia="Times New Roman" w:hAnsi="Times New Roman" w:cs="Times New Roman"/>
          <w:color w:val="000000"/>
          <w:sz w:val="24"/>
          <w:szCs w:val="24"/>
          <w:lang w:val="fr-FR" w:eastAsia="en-CA"/>
        </w:rPr>
        <w:t xml:space="preserve"> Vries O., Peeters G., </w:t>
      </w:r>
      <w:proofErr w:type="spellStart"/>
      <w:r w:rsidRPr="007431AB">
        <w:rPr>
          <w:rFonts w:ascii="Times New Roman" w:eastAsia="Times New Roman" w:hAnsi="Times New Roman" w:cs="Times New Roman"/>
          <w:color w:val="000000"/>
          <w:sz w:val="24"/>
          <w:szCs w:val="24"/>
          <w:lang w:val="fr-FR" w:eastAsia="en-CA"/>
        </w:rPr>
        <w:t>Elders</w:t>
      </w:r>
      <w:proofErr w:type="spellEnd"/>
      <w:r w:rsidRPr="007431AB">
        <w:rPr>
          <w:rFonts w:ascii="Times New Roman" w:eastAsia="Times New Roman" w:hAnsi="Times New Roman" w:cs="Times New Roman"/>
          <w:color w:val="000000"/>
          <w:sz w:val="24"/>
          <w:szCs w:val="24"/>
          <w:lang w:val="fr-FR" w:eastAsia="en-CA"/>
        </w:rPr>
        <w:t xml:space="preserve"> P., Muller M., </w:t>
      </w:r>
      <w:proofErr w:type="spellStart"/>
      <w:r w:rsidRPr="007431AB">
        <w:rPr>
          <w:rFonts w:ascii="Times New Roman" w:eastAsia="Times New Roman" w:hAnsi="Times New Roman" w:cs="Times New Roman"/>
          <w:color w:val="000000"/>
          <w:sz w:val="24"/>
          <w:szCs w:val="24"/>
          <w:lang w:val="fr-FR" w:eastAsia="en-CA"/>
        </w:rPr>
        <w:t>Knol</w:t>
      </w:r>
      <w:proofErr w:type="spellEnd"/>
      <w:r w:rsidRPr="007431AB">
        <w:rPr>
          <w:rFonts w:ascii="Times New Roman" w:eastAsia="Times New Roman" w:hAnsi="Times New Roman" w:cs="Times New Roman"/>
          <w:color w:val="000000"/>
          <w:sz w:val="24"/>
          <w:szCs w:val="24"/>
          <w:lang w:val="fr-FR" w:eastAsia="en-CA"/>
        </w:rPr>
        <w:t xml:space="preserve"> D., Danner S., et al. . </w:t>
      </w:r>
      <w:r w:rsidRPr="007431AB">
        <w:rPr>
          <w:rFonts w:ascii="Times New Roman" w:eastAsia="Times New Roman" w:hAnsi="Times New Roman" w:cs="Times New Roman"/>
          <w:color w:val="000000"/>
          <w:sz w:val="24"/>
          <w:szCs w:val="24"/>
          <w:lang w:eastAsia="en-CA"/>
        </w:rPr>
        <w:t xml:space="preserve">(2011) Multifactorial intervention to reduce falls in older people at </w:t>
      </w:r>
      <w:proofErr w:type="gramStart"/>
      <w:r w:rsidRPr="007431AB">
        <w:rPr>
          <w:rFonts w:ascii="Times New Roman" w:eastAsia="Times New Roman" w:hAnsi="Times New Roman" w:cs="Times New Roman"/>
          <w:color w:val="000000"/>
          <w:sz w:val="24"/>
          <w:szCs w:val="24"/>
          <w:lang w:eastAsia="en-CA"/>
        </w:rPr>
        <w:t>high risk</w:t>
      </w:r>
      <w:proofErr w:type="gramEnd"/>
      <w:r w:rsidRPr="007431AB">
        <w:rPr>
          <w:rFonts w:ascii="Times New Roman" w:eastAsia="Times New Roman" w:hAnsi="Times New Roman" w:cs="Times New Roman"/>
          <w:color w:val="000000"/>
          <w:sz w:val="24"/>
          <w:szCs w:val="24"/>
          <w:lang w:eastAsia="en-CA"/>
        </w:rPr>
        <w:t xml:space="preserve"> of recurrent falls: a randomized controlled trial. Arch Intern Med 170: 1110–1117 [</w:t>
      </w:r>
      <w:hyperlink r:id="rId7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BA1328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val="fr-FR" w:eastAsia="en-CA"/>
        </w:rPr>
        <w:t>Fialova</w:t>
      </w:r>
      <w:proofErr w:type="spellEnd"/>
      <w:r w:rsidRPr="007431AB">
        <w:rPr>
          <w:rFonts w:ascii="Times New Roman" w:eastAsia="Times New Roman" w:hAnsi="Times New Roman" w:cs="Times New Roman"/>
          <w:color w:val="000000"/>
          <w:sz w:val="24"/>
          <w:szCs w:val="24"/>
          <w:lang w:val="fr-FR" w:eastAsia="en-CA"/>
        </w:rPr>
        <w:t xml:space="preserve"> D., </w:t>
      </w:r>
      <w:proofErr w:type="spellStart"/>
      <w:r w:rsidRPr="007431AB">
        <w:rPr>
          <w:rFonts w:ascii="Times New Roman" w:eastAsia="Times New Roman" w:hAnsi="Times New Roman" w:cs="Times New Roman"/>
          <w:color w:val="000000"/>
          <w:sz w:val="24"/>
          <w:szCs w:val="24"/>
          <w:lang w:val="fr-FR" w:eastAsia="en-CA"/>
        </w:rPr>
        <w:t>Topinkova</w:t>
      </w:r>
      <w:proofErr w:type="spellEnd"/>
      <w:r w:rsidRPr="007431AB">
        <w:rPr>
          <w:rFonts w:ascii="Times New Roman" w:eastAsia="Times New Roman" w:hAnsi="Times New Roman" w:cs="Times New Roman"/>
          <w:color w:val="000000"/>
          <w:sz w:val="24"/>
          <w:szCs w:val="24"/>
          <w:lang w:val="fr-FR" w:eastAsia="en-CA"/>
        </w:rPr>
        <w:t xml:space="preserve"> E., </w:t>
      </w:r>
      <w:proofErr w:type="spellStart"/>
      <w:r w:rsidRPr="007431AB">
        <w:rPr>
          <w:rFonts w:ascii="Times New Roman" w:eastAsia="Times New Roman" w:hAnsi="Times New Roman" w:cs="Times New Roman"/>
          <w:color w:val="000000"/>
          <w:sz w:val="24"/>
          <w:szCs w:val="24"/>
          <w:lang w:val="fr-FR" w:eastAsia="en-CA"/>
        </w:rPr>
        <w:t>Gambassi</w:t>
      </w:r>
      <w:proofErr w:type="spellEnd"/>
      <w:r w:rsidRPr="007431AB">
        <w:rPr>
          <w:rFonts w:ascii="Times New Roman" w:eastAsia="Times New Roman" w:hAnsi="Times New Roman" w:cs="Times New Roman"/>
          <w:color w:val="000000"/>
          <w:sz w:val="24"/>
          <w:szCs w:val="24"/>
          <w:lang w:val="fr-FR" w:eastAsia="en-CA"/>
        </w:rPr>
        <w:t xml:space="preserve"> G., </w:t>
      </w:r>
      <w:proofErr w:type="spellStart"/>
      <w:r w:rsidRPr="007431AB">
        <w:rPr>
          <w:rFonts w:ascii="Times New Roman" w:eastAsia="Times New Roman" w:hAnsi="Times New Roman" w:cs="Times New Roman"/>
          <w:color w:val="000000"/>
          <w:sz w:val="24"/>
          <w:szCs w:val="24"/>
          <w:lang w:val="fr-FR" w:eastAsia="en-CA"/>
        </w:rPr>
        <w:t>Finne-Soveri</w:t>
      </w:r>
      <w:proofErr w:type="spellEnd"/>
      <w:r w:rsidRPr="007431AB">
        <w:rPr>
          <w:rFonts w:ascii="Times New Roman" w:eastAsia="Times New Roman" w:hAnsi="Times New Roman" w:cs="Times New Roman"/>
          <w:color w:val="000000"/>
          <w:sz w:val="24"/>
          <w:szCs w:val="24"/>
          <w:lang w:val="fr-FR" w:eastAsia="en-CA"/>
        </w:rPr>
        <w:t xml:space="preserve"> H., </w:t>
      </w:r>
      <w:proofErr w:type="spellStart"/>
      <w:r w:rsidRPr="007431AB">
        <w:rPr>
          <w:rFonts w:ascii="Times New Roman" w:eastAsia="Times New Roman" w:hAnsi="Times New Roman" w:cs="Times New Roman"/>
          <w:color w:val="000000"/>
          <w:sz w:val="24"/>
          <w:szCs w:val="24"/>
          <w:lang w:val="fr-FR" w:eastAsia="en-CA"/>
        </w:rPr>
        <w:t>Jonsson</w:t>
      </w:r>
      <w:proofErr w:type="spellEnd"/>
      <w:r w:rsidRPr="007431AB">
        <w:rPr>
          <w:rFonts w:ascii="Times New Roman" w:eastAsia="Times New Roman" w:hAnsi="Times New Roman" w:cs="Times New Roman"/>
          <w:color w:val="000000"/>
          <w:sz w:val="24"/>
          <w:szCs w:val="24"/>
          <w:lang w:val="fr-FR" w:eastAsia="en-CA"/>
        </w:rPr>
        <w:t xml:space="preserve"> P., Carpenter I., et al</w:t>
      </w:r>
      <w:proofErr w:type="gramStart"/>
      <w:r w:rsidRPr="007431AB">
        <w:rPr>
          <w:rFonts w:ascii="Times New Roman" w:eastAsia="Times New Roman" w:hAnsi="Times New Roman" w:cs="Times New Roman"/>
          <w:color w:val="000000"/>
          <w:sz w:val="24"/>
          <w:szCs w:val="24"/>
          <w:lang w:val="fr-FR" w:eastAsia="en-CA"/>
        </w:rPr>
        <w:t>. .</w:t>
      </w:r>
      <w:proofErr w:type="gramEnd"/>
      <w:r w:rsidRPr="007431AB">
        <w:rPr>
          <w:rFonts w:ascii="Times New Roman" w:eastAsia="Times New Roman" w:hAnsi="Times New Roman" w:cs="Times New Roman"/>
          <w:color w:val="000000"/>
          <w:sz w:val="24"/>
          <w:szCs w:val="24"/>
          <w:lang w:val="fr-FR" w:eastAsia="en-CA"/>
        </w:rPr>
        <w:t xml:space="preserve"> </w:t>
      </w:r>
      <w:r w:rsidRPr="007431AB">
        <w:rPr>
          <w:rFonts w:ascii="Times New Roman" w:eastAsia="Times New Roman" w:hAnsi="Times New Roman" w:cs="Times New Roman"/>
          <w:color w:val="000000"/>
          <w:sz w:val="24"/>
          <w:szCs w:val="24"/>
          <w:lang w:eastAsia="en-CA"/>
        </w:rPr>
        <w:t>(2005) Potentially inappropriate medication use among elderly home care patients in Europe. JAMA 293: 1348–1358[</w:t>
      </w:r>
      <w:hyperlink r:id="rId78"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21D39A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Gillespie L., Gillespie W., Robertson M., Lamb S., Cumming R., Rowe B. (2001) Interventions for preventing falls in elderly people. Cochrane Database </w:t>
      </w:r>
      <w:proofErr w:type="spellStart"/>
      <w:r w:rsidRPr="007431AB">
        <w:rPr>
          <w:rFonts w:ascii="Times New Roman" w:eastAsia="Times New Roman" w:hAnsi="Times New Roman" w:cs="Times New Roman"/>
          <w:color w:val="000000"/>
          <w:sz w:val="24"/>
          <w:szCs w:val="24"/>
          <w:lang w:eastAsia="en-CA"/>
        </w:rPr>
        <w:t>Syst</w:t>
      </w:r>
      <w:proofErr w:type="spellEnd"/>
      <w:r w:rsidRPr="007431AB">
        <w:rPr>
          <w:rFonts w:ascii="Times New Roman" w:eastAsia="Times New Roman" w:hAnsi="Times New Roman" w:cs="Times New Roman"/>
          <w:color w:val="000000"/>
          <w:sz w:val="24"/>
          <w:szCs w:val="24"/>
          <w:lang w:eastAsia="en-CA"/>
        </w:rPr>
        <w:t xml:space="preserve"> Rev (3): CD000340. [</w:t>
      </w:r>
      <w:hyperlink r:id="rId7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663A2511"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lastRenderedPageBreak/>
        <w:t>Graafmans</w:t>
      </w:r>
      <w:proofErr w:type="spellEnd"/>
      <w:r w:rsidRPr="007431AB">
        <w:rPr>
          <w:rFonts w:ascii="Times New Roman" w:eastAsia="Times New Roman" w:hAnsi="Times New Roman" w:cs="Times New Roman"/>
          <w:color w:val="000000"/>
          <w:sz w:val="24"/>
          <w:szCs w:val="24"/>
          <w:lang w:eastAsia="en-CA"/>
        </w:rPr>
        <w:t xml:space="preserve"> W., </w:t>
      </w:r>
      <w:proofErr w:type="spellStart"/>
      <w:r w:rsidRPr="007431AB">
        <w:rPr>
          <w:rFonts w:ascii="Times New Roman" w:eastAsia="Times New Roman" w:hAnsi="Times New Roman" w:cs="Times New Roman"/>
          <w:color w:val="000000"/>
          <w:sz w:val="24"/>
          <w:szCs w:val="24"/>
          <w:lang w:eastAsia="en-CA"/>
        </w:rPr>
        <w:t>Ooms</w:t>
      </w:r>
      <w:proofErr w:type="spellEnd"/>
      <w:r w:rsidRPr="007431AB">
        <w:rPr>
          <w:rFonts w:ascii="Times New Roman" w:eastAsia="Times New Roman" w:hAnsi="Times New Roman" w:cs="Times New Roman"/>
          <w:color w:val="000000"/>
          <w:sz w:val="24"/>
          <w:szCs w:val="24"/>
          <w:lang w:eastAsia="en-CA"/>
        </w:rPr>
        <w:t xml:space="preserve"> M., </w:t>
      </w:r>
      <w:proofErr w:type="spellStart"/>
      <w:r w:rsidRPr="007431AB">
        <w:rPr>
          <w:rFonts w:ascii="Times New Roman" w:eastAsia="Times New Roman" w:hAnsi="Times New Roman" w:cs="Times New Roman"/>
          <w:color w:val="000000"/>
          <w:sz w:val="24"/>
          <w:szCs w:val="24"/>
          <w:lang w:eastAsia="en-CA"/>
        </w:rPr>
        <w:t>Hofstee</w:t>
      </w:r>
      <w:proofErr w:type="spellEnd"/>
      <w:r w:rsidRPr="007431AB">
        <w:rPr>
          <w:rFonts w:ascii="Times New Roman" w:eastAsia="Times New Roman" w:hAnsi="Times New Roman" w:cs="Times New Roman"/>
          <w:color w:val="000000"/>
          <w:sz w:val="24"/>
          <w:szCs w:val="24"/>
          <w:lang w:eastAsia="en-CA"/>
        </w:rPr>
        <w:t xml:space="preserve"> H., </w:t>
      </w:r>
      <w:proofErr w:type="spellStart"/>
      <w:r w:rsidRPr="007431AB">
        <w:rPr>
          <w:rFonts w:ascii="Times New Roman" w:eastAsia="Times New Roman" w:hAnsi="Times New Roman" w:cs="Times New Roman"/>
          <w:color w:val="000000"/>
          <w:sz w:val="24"/>
          <w:szCs w:val="24"/>
          <w:lang w:eastAsia="en-CA"/>
        </w:rPr>
        <w:t>Bezemer</w:t>
      </w:r>
      <w:proofErr w:type="spellEnd"/>
      <w:r w:rsidRPr="007431AB">
        <w:rPr>
          <w:rFonts w:ascii="Times New Roman" w:eastAsia="Times New Roman" w:hAnsi="Times New Roman" w:cs="Times New Roman"/>
          <w:color w:val="000000"/>
          <w:sz w:val="24"/>
          <w:szCs w:val="24"/>
          <w:lang w:eastAsia="en-CA"/>
        </w:rPr>
        <w:t xml:space="preserve"> P., </w:t>
      </w:r>
      <w:proofErr w:type="spellStart"/>
      <w:r w:rsidRPr="007431AB">
        <w:rPr>
          <w:rFonts w:ascii="Times New Roman" w:eastAsia="Times New Roman" w:hAnsi="Times New Roman" w:cs="Times New Roman"/>
          <w:color w:val="000000"/>
          <w:sz w:val="24"/>
          <w:szCs w:val="24"/>
          <w:lang w:eastAsia="en-CA"/>
        </w:rPr>
        <w:t>Bouter</w:t>
      </w:r>
      <w:proofErr w:type="spellEnd"/>
      <w:r w:rsidRPr="007431AB">
        <w:rPr>
          <w:rFonts w:ascii="Times New Roman" w:eastAsia="Times New Roman" w:hAnsi="Times New Roman" w:cs="Times New Roman"/>
          <w:color w:val="000000"/>
          <w:sz w:val="24"/>
          <w:szCs w:val="24"/>
          <w:lang w:eastAsia="en-CA"/>
        </w:rPr>
        <w:t xml:space="preserve"> L., Lips P. (1996) Falls in the elderly: a prospective study of risk factors and risk profiles. Am J Epidemiol 143: 1129–1136 [</w:t>
      </w:r>
      <w:hyperlink r:id="rId8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FACF62F"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Gray S., LaCroix A., Blough D., Wagner E., </w:t>
      </w:r>
      <w:proofErr w:type="spellStart"/>
      <w:r w:rsidRPr="007431AB">
        <w:rPr>
          <w:rFonts w:ascii="Times New Roman" w:eastAsia="Times New Roman" w:hAnsi="Times New Roman" w:cs="Times New Roman"/>
          <w:color w:val="000000"/>
          <w:sz w:val="24"/>
          <w:szCs w:val="24"/>
          <w:lang w:eastAsia="en-CA"/>
        </w:rPr>
        <w:t>Koepsell</w:t>
      </w:r>
      <w:proofErr w:type="spellEnd"/>
      <w:r w:rsidRPr="007431AB">
        <w:rPr>
          <w:rFonts w:ascii="Times New Roman" w:eastAsia="Times New Roman" w:hAnsi="Times New Roman" w:cs="Times New Roman"/>
          <w:color w:val="000000"/>
          <w:sz w:val="24"/>
          <w:szCs w:val="24"/>
          <w:lang w:eastAsia="en-CA"/>
        </w:rPr>
        <w:t xml:space="preserve"> T., Buchner D. (2002) Is the use of benzodiazepines associated with incident disability?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50: 1012–1018 [</w:t>
      </w:r>
      <w:hyperlink r:id="rId81"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8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096D5054"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Haney E., Chan B., Diem S., </w:t>
      </w:r>
      <w:proofErr w:type="spellStart"/>
      <w:r w:rsidRPr="007431AB">
        <w:rPr>
          <w:rFonts w:ascii="Times New Roman" w:eastAsia="Times New Roman" w:hAnsi="Times New Roman" w:cs="Times New Roman"/>
          <w:color w:val="000000"/>
          <w:sz w:val="24"/>
          <w:szCs w:val="24"/>
          <w:lang w:eastAsia="en-CA"/>
        </w:rPr>
        <w:t>Ensrud</w:t>
      </w:r>
      <w:proofErr w:type="spellEnd"/>
      <w:r w:rsidRPr="007431AB">
        <w:rPr>
          <w:rFonts w:ascii="Times New Roman" w:eastAsia="Times New Roman" w:hAnsi="Times New Roman" w:cs="Times New Roman"/>
          <w:color w:val="000000"/>
          <w:sz w:val="24"/>
          <w:szCs w:val="24"/>
          <w:lang w:eastAsia="en-CA"/>
        </w:rPr>
        <w:t xml:space="preserve"> K., </w:t>
      </w:r>
      <w:proofErr w:type="spellStart"/>
      <w:r w:rsidRPr="007431AB">
        <w:rPr>
          <w:rFonts w:ascii="Times New Roman" w:eastAsia="Times New Roman" w:hAnsi="Times New Roman" w:cs="Times New Roman"/>
          <w:color w:val="000000"/>
          <w:sz w:val="24"/>
          <w:szCs w:val="24"/>
          <w:lang w:eastAsia="en-CA"/>
        </w:rPr>
        <w:t>Cauley</w:t>
      </w:r>
      <w:proofErr w:type="spellEnd"/>
      <w:r w:rsidRPr="007431AB">
        <w:rPr>
          <w:rFonts w:ascii="Times New Roman" w:eastAsia="Times New Roman" w:hAnsi="Times New Roman" w:cs="Times New Roman"/>
          <w:color w:val="000000"/>
          <w:sz w:val="24"/>
          <w:szCs w:val="24"/>
          <w:lang w:eastAsia="en-CA"/>
        </w:rPr>
        <w:t xml:space="preserve"> J., Barrett-Connor E.,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(2007) Association of low bone mineral density with selective serotonin reuptake inhibitor use by older men. Arch Intern Med167: 1246–1251 [</w:t>
      </w:r>
      <w:hyperlink r:id="rId8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1AF6588"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Hanlon J., Horner R., </w:t>
      </w:r>
      <w:proofErr w:type="spellStart"/>
      <w:r w:rsidRPr="007431AB">
        <w:rPr>
          <w:rFonts w:ascii="Times New Roman" w:eastAsia="Times New Roman" w:hAnsi="Times New Roman" w:cs="Times New Roman"/>
          <w:color w:val="000000"/>
          <w:sz w:val="24"/>
          <w:szCs w:val="24"/>
          <w:lang w:eastAsia="en-CA"/>
        </w:rPr>
        <w:t>Schmader</w:t>
      </w:r>
      <w:proofErr w:type="spellEnd"/>
      <w:r w:rsidRPr="007431AB">
        <w:rPr>
          <w:rFonts w:ascii="Times New Roman" w:eastAsia="Times New Roman" w:hAnsi="Times New Roman" w:cs="Times New Roman"/>
          <w:color w:val="000000"/>
          <w:sz w:val="24"/>
          <w:szCs w:val="24"/>
          <w:lang w:eastAsia="en-CA"/>
        </w:rPr>
        <w:t xml:space="preserve"> K., </w:t>
      </w:r>
      <w:proofErr w:type="spellStart"/>
      <w:r w:rsidRPr="007431AB">
        <w:rPr>
          <w:rFonts w:ascii="Times New Roman" w:eastAsia="Times New Roman" w:hAnsi="Times New Roman" w:cs="Times New Roman"/>
          <w:color w:val="000000"/>
          <w:sz w:val="24"/>
          <w:szCs w:val="24"/>
          <w:lang w:eastAsia="en-CA"/>
        </w:rPr>
        <w:t>Fillenbaum</w:t>
      </w:r>
      <w:proofErr w:type="spellEnd"/>
      <w:r w:rsidRPr="007431AB">
        <w:rPr>
          <w:rFonts w:ascii="Times New Roman" w:eastAsia="Times New Roman" w:hAnsi="Times New Roman" w:cs="Times New Roman"/>
          <w:color w:val="000000"/>
          <w:sz w:val="24"/>
          <w:szCs w:val="24"/>
          <w:lang w:eastAsia="en-CA"/>
        </w:rPr>
        <w:t xml:space="preserve"> G., Lewis I., Wall W.,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(1998) Benzodiazepine use and cognitive function among community-dwelling elderly.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Ther</w:t>
      </w:r>
      <w:proofErr w:type="spellEnd"/>
      <w:r w:rsidRPr="007431AB">
        <w:rPr>
          <w:rFonts w:ascii="Times New Roman" w:eastAsia="Times New Roman" w:hAnsi="Times New Roman" w:cs="Times New Roman"/>
          <w:color w:val="000000"/>
          <w:sz w:val="24"/>
          <w:szCs w:val="24"/>
          <w:lang w:eastAsia="en-CA"/>
        </w:rPr>
        <w:t> 64: 684–692[</w:t>
      </w:r>
      <w:hyperlink r:id="rId84"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00D6E309"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w:t>
      </w:r>
      <w:proofErr w:type="spellStart"/>
      <w:r w:rsidRPr="007431AB">
        <w:rPr>
          <w:rFonts w:ascii="Times New Roman" w:eastAsia="Times New Roman" w:hAnsi="Times New Roman" w:cs="Times New Roman"/>
          <w:color w:val="000000"/>
          <w:sz w:val="24"/>
          <w:szCs w:val="24"/>
          <w:lang w:eastAsia="en-CA"/>
        </w:rPr>
        <w:t>Polinder</w:t>
      </w:r>
      <w:proofErr w:type="spellEnd"/>
      <w:r w:rsidRPr="007431AB">
        <w:rPr>
          <w:rFonts w:ascii="Times New Roman" w:eastAsia="Times New Roman" w:hAnsi="Times New Roman" w:cs="Times New Roman"/>
          <w:color w:val="000000"/>
          <w:sz w:val="24"/>
          <w:szCs w:val="24"/>
          <w:lang w:eastAsia="en-CA"/>
        </w:rPr>
        <w:t xml:space="preserve"> S., Van der </w:t>
      </w:r>
      <w:proofErr w:type="spellStart"/>
      <w:r w:rsidRPr="007431AB">
        <w:rPr>
          <w:rFonts w:ascii="Times New Roman" w:eastAsia="Times New Roman" w:hAnsi="Times New Roman" w:cs="Times New Roman"/>
          <w:color w:val="000000"/>
          <w:sz w:val="24"/>
          <w:szCs w:val="24"/>
          <w:lang w:eastAsia="en-CA"/>
        </w:rPr>
        <w:t>Cammen</w:t>
      </w:r>
      <w:proofErr w:type="spellEnd"/>
      <w:r w:rsidRPr="007431AB">
        <w:rPr>
          <w:rFonts w:ascii="Times New Roman" w:eastAsia="Times New Roman" w:hAnsi="Times New Roman" w:cs="Times New Roman"/>
          <w:color w:val="000000"/>
          <w:sz w:val="24"/>
          <w:szCs w:val="24"/>
          <w:lang w:eastAsia="en-CA"/>
        </w:rPr>
        <w:t xml:space="preserve"> T., </w:t>
      </w:r>
      <w:proofErr w:type="spellStart"/>
      <w:r w:rsidRPr="007431AB">
        <w:rPr>
          <w:rFonts w:ascii="Times New Roman" w:eastAsia="Times New Roman" w:hAnsi="Times New Roman" w:cs="Times New Roman"/>
          <w:color w:val="000000"/>
          <w:sz w:val="24"/>
          <w:szCs w:val="24"/>
          <w:lang w:eastAsia="en-CA"/>
        </w:rPr>
        <w:t>Panneman</w:t>
      </w:r>
      <w:proofErr w:type="spellEnd"/>
      <w:r w:rsidRPr="007431AB">
        <w:rPr>
          <w:rFonts w:ascii="Times New Roman" w:eastAsia="Times New Roman" w:hAnsi="Times New Roman" w:cs="Times New Roman"/>
          <w:color w:val="000000"/>
          <w:sz w:val="24"/>
          <w:szCs w:val="24"/>
          <w:lang w:eastAsia="en-CA"/>
        </w:rPr>
        <w:t xml:space="preserve"> M., Van der Velde N., Van </w:t>
      </w:r>
      <w:proofErr w:type="spellStart"/>
      <w:r w:rsidRPr="007431AB">
        <w:rPr>
          <w:rFonts w:ascii="Times New Roman" w:eastAsia="Times New Roman" w:hAnsi="Times New Roman" w:cs="Times New Roman"/>
          <w:color w:val="000000"/>
          <w:sz w:val="24"/>
          <w:szCs w:val="24"/>
          <w:lang w:eastAsia="en-CA"/>
        </w:rPr>
        <w:t>Lieshout</w:t>
      </w:r>
      <w:proofErr w:type="spellEnd"/>
      <w:r w:rsidRPr="007431AB">
        <w:rPr>
          <w:rFonts w:ascii="Times New Roman" w:eastAsia="Times New Roman" w:hAnsi="Times New Roman" w:cs="Times New Roman"/>
          <w:color w:val="000000"/>
          <w:sz w:val="24"/>
          <w:szCs w:val="24"/>
          <w:lang w:eastAsia="en-CA"/>
        </w:rPr>
        <w:t xml:space="preserve"> E.,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(2012) Costs of falls in an ageing population: a nationwide study from the Netherlands (2007–2009). Injury 43: 1199–1203 [</w:t>
      </w:r>
      <w:hyperlink r:id="rId8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ED06E77"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Stevens J., </w:t>
      </w:r>
      <w:proofErr w:type="spellStart"/>
      <w:r w:rsidRPr="007431AB">
        <w:rPr>
          <w:rFonts w:ascii="Times New Roman" w:eastAsia="Times New Roman" w:hAnsi="Times New Roman" w:cs="Times New Roman"/>
          <w:color w:val="000000"/>
          <w:sz w:val="24"/>
          <w:szCs w:val="24"/>
          <w:lang w:eastAsia="en-CA"/>
        </w:rPr>
        <w:t>Polinder</w:t>
      </w:r>
      <w:proofErr w:type="spellEnd"/>
      <w:r w:rsidRPr="007431AB">
        <w:rPr>
          <w:rFonts w:ascii="Times New Roman" w:eastAsia="Times New Roman" w:hAnsi="Times New Roman" w:cs="Times New Roman"/>
          <w:color w:val="000000"/>
          <w:sz w:val="24"/>
          <w:szCs w:val="24"/>
          <w:lang w:eastAsia="en-CA"/>
        </w:rPr>
        <w:t xml:space="preserve"> S., van der </w:t>
      </w:r>
      <w:proofErr w:type="spellStart"/>
      <w:r w:rsidRPr="007431AB">
        <w:rPr>
          <w:rFonts w:ascii="Times New Roman" w:eastAsia="Times New Roman" w:hAnsi="Times New Roman" w:cs="Times New Roman"/>
          <w:color w:val="000000"/>
          <w:sz w:val="24"/>
          <w:szCs w:val="24"/>
          <w:lang w:eastAsia="en-CA"/>
        </w:rPr>
        <w:t>Cammen</w:t>
      </w:r>
      <w:proofErr w:type="spellEnd"/>
      <w:r w:rsidRPr="007431AB">
        <w:rPr>
          <w:rFonts w:ascii="Times New Roman" w:eastAsia="Times New Roman" w:hAnsi="Times New Roman" w:cs="Times New Roman"/>
          <w:color w:val="000000"/>
          <w:sz w:val="24"/>
          <w:szCs w:val="24"/>
          <w:lang w:eastAsia="en-CA"/>
        </w:rPr>
        <w:t xml:space="preserve"> T., </w:t>
      </w:r>
      <w:proofErr w:type="spellStart"/>
      <w:r w:rsidRPr="007431AB">
        <w:rPr>
          <w:rFonts w:ascii="Times New Roman" w:eastAsia="Times New Roman" w:hAnsi="Times New Roman" w:cs="Times New Roman"/>
          <w:color w:val="000000"/>
          <w:sz w:val="24"/>
          <w:szCs w:val="24"/>
          <w:lang w:eastAsia="en-CA"/>
        </w:rPr>
        <w:t>Patka</w:t>
      </w:r>
      <w:proofErr w:type="spellEnd"/>
      <w:r w:rsidRPr="007431AB">
        <w:rPr>
          <w:rFonts w:ascii="Times New Roman" w:eastAsia="Times New Roman" w:hAnsi="Times New Roman" w:cs="Times New Roman"/>
          <w:color w:val="000000"/>
          <w:sz w:val="24"/>
          <w:szCs w:val="24"/>
          <w:lang w:eastAsia="en-CA"/>
        </w:rPr>
        <w:t xml:space="preserve"> P. (2011a) Increase in fall-related hospitalizations in the United States, 2001–2008. J Trauma 71: 255–258 [</w:t>
      </w:r>
      <w:hyperlink r:id="rId86"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D2AACC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van </w:t>
      </w:r>
      <w:proofErr w:type="spellStart"/>
      <w:r w:rsidRPr="007431AB">
        <w:rPr>
          <w:rFonts w:ascii="Times New Roman" w:eastAsia="Times New Roman" w:hAnsi="Times New Roman" w:cs="Times New Roman"/>
          <w:color w:val="000000"/>
          <w:sz w:val="24"/>
          <w:szCs w:val="24"/>
          <w:lang w:eastAsia="en-CA"/>
        </w:rPr>
        <w:t>Beeck</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Polinder</w:t>
      </w:r>
      <w:proofErr w:type="spellEnd"/>
      <w:r w:rsidRPr="007431AB">
        <w:rPr>
          <w:rFonts w:ascii="Times New Roman" w:eastAsia="Times New Roman" w:hAnsi="Times New Roman" w:cs="Times New Roman"/>
          <w:color w:val="000000"/>
          <w:sz w:val="24"/>
          <w:szCs w:val="24"/>
          <w:lang w:eastAsia="en-CA"/>
        </w:rPr>
        <w:t xml:space="preserve"> S., van der Velde N., van </w:t>
      </w:r>
      <w:proofErr w:type="spellStart"/>
      <w:r w:rsidRPr="007431AB">
        <w:rPr>
          <w:rFonts w:ascii="Times New Roman" w:eastAsia="Times New Roman" w:hAnsi="Times New Roman" w:cs="Times New Roman"/>
          <w:color w:val="000000"/>
          <w:sz w:val="24"/>
          <w:szCs w:val="24"/>
          <w:lang w:eastAsia="en-CA"/>
        </w:rPr>
        <w:t>Lieshout</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Panneman</w:t>
      </w:r>
      <w:proofErr w:type="spellEnd"/>
      <w:r w:rsidRPr="007431AB">
        <w:rPr>
          <w:rFonts w:ascii="Times New Roman" w:eastAsia="Times New Roman" w:hAnsi="Times New Roman" w:cs="Times New Roman"/>
          <w:color w:val="000000"/>
          <w:sz w:val="24"/>
          <w:szCs w:val="24"/>
          <w:lang w:eastAsia="en-CA"/>
        </w:rPr>
        <w:t xml:space="preserve"> M.,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(2011b) Societal consequences of falls in the older population: injuries, healthcare costs, and long-term reduced quality of life. J Trauma 71: 748–753 [</w:t>
      </w:r>
      <w:hyperlink r:id="rId8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933935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van der Velde N., </w:t>
      </w:r>
      <w:proofErr w:type="spellStart"/>
      <w:r w:rsidRPr="007431AB">
        <w:rPr>
          <w:rFonts w:ascii="Times New Roman" w:eastAsia="Times New Roman" w:hAnsi="Times New Roman" w:cs="Times New Roman"/>
          <w:color w:val="000000"/>
          <w:sz w:val="24"/>
          <w:szCs w:val="24"/>
          <w:lang w:eastAsia="en-CA"/>
        </w:rPr>
        <w:t>Looman</w:t>
      </w:r>
      <w:proofErr w:type="spellEnd"/>
      <w:r w:rsidRPr="007431AB">
        <w:rPr>
          <w:rFonts w:ascii="Times New Roman" w:eastAsia="Times New Roman" w:hAnsi="Times New Roman" w:cs="Times New Roman"/>
          <w:color w:val="000000"/>
          <w:sz w:val="24"/>
          <w:szCs w:val="24"/>
          <w:lang w:eastAsia="en-CA"/>
        </w:rPr>
        <w:t xml:space="preserve"> C., </w:t>
      </w:r>
      <w:proofErr w:type="spellStart"/>
      <w:r w:rsidRPr="007431AB">
        <w:rPr>
          <w:rFonts w:ascii="Times New Roman" w:eastAsia="Times New Roman" w:hAnsi="Times New Roman" w:cs="Times New Roman"/>
          <w:color w:val="000000"/>
          <w:sz w:val="24"/>
          <w:szCs w:val="24"/>
          <w:lang w:eastAsia="en-CA"/>
        </w:rPr>
        <w:t>Panneman</w:t>
      </w:r>
      <w:proofErr w:type="spellEnd"/>
      <w:r w:rsidRPr="007431AB">
        <w:rPr>
          <w:rFonts w:ascii="Times New Roman" w:eastAsia="Times New Roman" w:hAnsi="Times New Roman" w:cs="Times New Roman"/>
          <w:color w:val="000000"/>
          <w:sz w:val="24"/>
          <w:szCs w:val="24"/>
          <w:lang w:eastAsia="en-CA"/>
        </w:rPr>
        <w:t xml:space="preserve"> M., van </w:t>
      </w:r>
      <w:proofErr w:type="spellStart"/>
      <w:r w:rsidRPr="007431AB">
        <w:rPr>
          <w:rFonts w:ascii="Times New Roman" w:eastAsia="Times New Roman" w:hAnsi="Times New Roman" w:cs="Times New Roman"/>
          <w:color w:val="000000"/>
          <w:sz w:val="24"/>
          <w:szCs w:val="24"/>
          <w:lang w:eastAsia="en-CA"/>
        </w:rPr>
        <w:t>Beeck</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Patka</w:t>
      </w:r>
      <w:proofErr w:type="spellEnd"/>
      <w:r w:rsidRPr="007431AB">
        <w:rPr>
          <w:rFonts w:ascii="Times New Roman" w:eastAsia="Times New Roman" w:hAnsi="Times New Roman" w:cs="Times New Roman"/>
          <w:color w:val="000000"/>
          <w:sz w:val="24"/>
          <w:szCs w:val="24"/>
          <w:lang w:eastAsia="en-CA"/>
        </w:rPr>
        <w:t xml:space="preserve"> P.,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(2010a) Adverse drug reactions related hospital admissions in persons aged 60 years and over, The Netherlands, 1981–2007: less rapid increase, different drugs. </w:t>
      </w:r>
      <w:proofErr w:type="spellStart"/>
      <w:r w:rsidRPr="007431AB">
        <w:rPr>
          <w:rFonts w:ascii="Times New Roman" w:eastAsia="Times New Roman" w:hAnsi="Times New Roman" w:cs="Times New Roman"/>
          <w:color w:val="000000"/>
          <w:sz w:val="24"/>
          <w:szCs w:val="24"/>
          <w:lang w:eastAsia="en-CA"/>
        </w:rPr>
        <w:t>PLoS</w:t>
      </w:r>
      <w:proofErr w:type="spellEnd"/>
      <w:r w:rsidRPr="007431AB">
        <w:rPr>
          <w:rFonts w:ascii="Times New Roman" w:eastAsia="Times New Roman" w:hAnsi="Times New Roman" w:cs="Times New Roman"/>
          <w:color w:val="000000"/>
          <w:sz w:val="24"/>
          <w:szCs w:val="24"/>
          <w:lang w:eastAsia="en-CA"/>
        </w:rPr>
        <w:t xml:space="preserve"> One 5: e13977. [</w:t>
      </w:r>
      <w:hyperlink r:id="rId88"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8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AA8D8F6"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van der Velde N., </w:t>
      </w:r>
      <w:proofErr w:type="spellStart"/>
      <w:r w:rsidRPr="007431AB">
        <w:rPr>
          <w:rFonts w:ascii="Times New Roman" w:eastAsia="Times New Roman" w:hAnsi="Times New Roman" w:cs="Times New Roman"/>
          <w:color w:val="000000"/>
          <w:sz w:val="24"/>
          <w:szCs w:val="24"/>
          <w:lang w:eastAsia="en-CA"/>
        </w:rPr>
        <w:t>Looman</w:t>
      </w:r>
      <w:proofErr w:type="spellEnd"/>
      <w:r w:rsidRPr="007431AB">
        <w:rPr>
          <w:rFonts w:ascii="Times New Roman" w:eastAsia="Times New Roman" w:hAnsi="Times New Roman" w:cs="Times New Roman"/>
          <w:color w:val="000000"/>
          <w:sz w:val="24"/>
          <w:szCs w:val="24"/>
          <w:lang w:eastAsia="en-CA"/>
        </w:rPr>
        <w:t xml:space="preserve"> C., van </w:t>
      </w:r>
      <w:proofErr w:type="spellStart"/>
      <w:r w:rsidRPr="007431AB">
        <w:rPr>
          <w:rFonts w:ascii="Times New Roman" w:eastAsia="Times New Roman" w:hAnsi="Times New Roman" w:cs="Times New Roman"/>
          <w:color w:val="000000"/>
          <w:sz w:val="24"/>
          <w:szCs w:val="24"/>
          <w:lang w:eastAsia="en-CA"/>
        </w:rPr>
        <w:t>Lieshout</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Panneman</w:t>
      </w:r>
      <w:proofErr w:type="spellEnd"/>
      <w:r w:rsidRPr="007431AB">
        <w:rPr>
          <w:rFonts w:ascii="Times New Roman" w:eastAsia="Times New Roman" w:hAnsi="Times New Roman" w:cs="Times New Roman"/>
          <w:color w:val="000000"/>
          <w:sz w:val="24"/>
          <w:szCs w:val="24"/>
          <w:lang w:eastAsia="en-CA"/>
        </w:rPr>
        <w:t xml:space="preserve"> M., van </w:t>
      </w:r>
      <w:proofErr w:type="spellStart"/>
      <w:r w:rsidRPr="007431AB">
        <w:rPr>
          <w:rFonts w:ascii="Times New Roman" w:eastAsia="Times New Roman" w:hAnsi="Times New Roman" w:cs="Times New Roman"/>
          <w:color w:val="000000"/>
          <w:sz w:val="24"/>
          <w:szCs w:val="24"/>
          <w:lang w:eastAsia="en-CA"/>
        </w:rPr>
        <w:t>Beeck</w:t>
      </w:r>
      <w:proofErr w:type="spellEnd"/>
      <w:r w:rsidRPr="007431AB">
        <w:rPr>
          <w:rFonts w:ascii="Times New Roman" w:eastAsia="Times New Roman" w:hAnsi="Times New Roman" w:cs="Times New Roman"/>
          <w:color w:val="000000"/>
          <w:sz w:val="24"/>
          <w:szCs w:val="24"/>
          <w:lang w:eastAsia="en-CA"/>
        </w:rPr>
        <w:t xml:space="preserve"> E.,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(2010b) Trends in fall-related hospital admissions in older persons in the Netherlands. Arch Intern Med 170: 905–911 [</w:t>
      </w:r>
      <w:hyperlink r:id="rId9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A98131C"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Hartholt</w:t>
      </w:r>
      <w:proofErr w:type="spellEnd"/>
      <w:r w:rsidRPr="007431AB">
        <w:rPr>
          <w:rFonts w:ascii="Times New Roman" w:eastAsia="Times New Roman" w:hAnsi="Times New Roman" w:cs="Times New Roman"/>
          <w:color w:val="000000"/>
          <w:sz w:val="24"/>
          <w:szCs w:val="24"/>
          <w:lang w:eastAsia="en-CA"/>
        </w:rPr>
        <w:t xml:space="preserve"> K., van der Velde N., van </w:t>
      </w:r>
      <w:proofErr w:type="spellStart"/>
      <w:r w:rsidRPr="007431AB">
        <w:rPr>
          <w:rFonts w:ascii="Times New Roman" w:eastAsia="Times New Roman" w:hAnsi="Times New Roman" w:cs="Times New Roman"/>
          <w:color w:val="000000"/>
          <w:sz w:val="24"/>
          <w:szCs w:val="24"/>
          <w:lang w:eastAsia="en-CA"/>
        </w:rPr>
        <w:t>Lieshout</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Polinder</w:t>
      </w:r>
      <w:proofErr w:type="spellEnd"/>
      <w:r w:rsidRPr="007431AB">
        <w:rPr>
          <w:rFonts w:ascii="Times New Roman" w:eastAsia="Times New Roman" w:hAnsi="Times New Roman" w:cs="Times New Roman"/>
          <w:color w:val="000000"/>
          <w:sz w:val="24"/>
          <w:szCs w:val="24"/>
          <w:lang w:eastAsia="en-CA"/>
        </w:rPr>
        <w:t xml:space="preserve"> S., De Vries O., </w:t>
      </w:r>
      <w:proofErr w:type="spellStart"/>
      <w:r w:rsidRPr="007431AB">
        <w:rPr>
          <w:rFonts w:ascii="Times New Roman" w:eastAsia="Times New Roman" w:hAnsi="Times New Roman" w:cs="Times New Roman"/>
          <w:color w:val="000000"/>
          <w:sz w:val="24"/>
          <w:szCs w:val="24"/>
          <w:lang w:eastAsia="en-CA"/>
        </w:rPr>
        <w:t>Boye</w:t>
      </w:r>
      <w:proofErr w:type="spellEnd"/>
      <w:r w:rsidRPr="007431AB">
        <w:rPr>
          <w:rFonts w:ascii="Times New Roman" w:eastAsia="Times New Roman" w:hAnsi="Times New Roman" w:cs="Times New Roman"/>
          <w:color w:val="000000"/>
          <w:sz w:val="24"/>
          <w:szCs w:val="24"/>
          <w:lang w:eastAsia="en-CA"/>
        </w:rPr>
        <w:t xml:space="preserve"> N.,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(2011c) [Cost] effectiveness of withdrawal of fall-risk increasing drugs versus conservative treatment in older fallers: design of a multicenter randomized controlled trial (</w:t>
      </w:r>
      <w:proofErr w:type="spellStart"/>
      <w:r w:rsidRPr="007431AB">
        <w:rPr>
          <w:rFonts w:ascii="Times New Roman" w:eastAsia="Times New Roman" w:hAnsi="Times New Roman" w:cs="Times New Roman"/>
          <w:color w:val="000000"/>
          <w:sz w:val="24"/>
          <w:szCs w:val="24"/>
          <w:lang w:eastAsia="en-CA"/>
        </w:rPr>
        <w:t>IMPROveFALL</w:t>
      </w:r>
      <w:proofErr w:type="spellEnd"/>
      <w:r w:rsidRPr="007431AB">
        <w:rPr>
          <w:rFonts w:ascii="Times New Roman" w:eastAsia="Times New Roman" w:hAnsi="Times New Roman" w:cs="Times New Roman"/>
          <w:color w:val="000000"/>
          <w:sz w:val="24"/>
          <w:szCs w:val="24"/>
          <w:lang w:eastAsia="en-CA"/>
        </w:rPr>
        <w:t xml:space="preserve">-study). BMC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11: 48. [</w:t>
      </w:r>
      <w:hyperlink r:id="rId91"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9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721E66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Hartikainen</w:t>
      </w:r>
      <w:proofErr w:type="spellEnd"/>
      <w:r w:rsidRPr="007431AB">
        <w:rPr>
          <w:rFonts w:ascii="Times New Roman" w:eastAsia="Times New Roman" w:hAnsi="Times New Roman" w:cs="Times New Roman"/>
          <w:color w:val="000000"/>
          <w:sz w:val="24"/>
          <w:szCs w:val="24"/>
          <w:lang w:eastAsia="en-CA"/>
        </w:rPr>
        <w:t xml:space="preserve"> S., </w:t>
      </w:r>
      <w:proofErr w:type="spellStart"/>
      <w:r w:rsidRPr="007431AB">
        <w:rPr>
          <w:rFonts w:ascii="Times New Roman" w:eastAsia="Times New Roman" w:hAnsi="Times New Roman" w:cs="Times New Roman"/>
          <w:color w:val="000000"/>
          <w:sz w:val="24"/>
          <w:szCs w:val="24"/>
          <w:lang w:eastAsia="en-CA"/>
        </w:rPr>
        <w:t>Lonnroos</w:t>
      </w:r>
      <w:proofErr w:type="spellEnd"/>
      <w:r w:rsidRPr="007431AB">
        <w:rPr>
          <w:rFonts w:ascii="Times New Roman" w:eastAsia="Times New Roman" w:hAnsi="Times New Roman" w:cs="Times New Roman"/>
          <w:color w:val="000000"/>
          <w:sz w:val="24"/>
          <w:szCs w:val="24"/>
          <w:lang w:eastAsia="en-CA"/>
        </w:rPr>
        <w:t xml:space="preserve"> E., </w:t>
      </w:r>
      <w:proofErr w:type="spellStart"/>
      <w:r w:rsidRPr="007431AB">
        <w:rPr>
          <w:rFonts w:ascii="Times New Roman" w:eastAsia="Times New Roman" w:hAnsi="Times New Roman" w:cs="Times New Roman"/>
          <w:color w:val="000000"/>
          <w:sz w:val="24"/>
          <w:szCs w:val="24"/>
          <w:lang w:eastAsia="en-CA"/>
        </w:rPr>
        <w:t>Louhivuori</w:t>
      </w:r>
      <w:proofErr w:type="spellEnd"/>
      <w:r w:rsidRPr="007431AB">
        <w:rPr>
          <w:rFonts w:ascii="Times New Roman" w:eastAsia="Times New Roman" w:hAnsi="Times New Roman" w:cs="Times New Roman"/>
          <w:color w:val="000000"/>
          <w:sz w:val="24"/>
          <w:szCs w:val="24"/>
          <w:lang w:eastAsia="en-CA"/>
        </w:rPr>
        <w:t xml:space="preserve"> K. (2007) Medication as a risk factor for falls: critical systematic review. J </w:t>
      </w:r>
      <w:proofErr w:type="spellStart"/>
      <w:r w:rsidRPr="007431AB">
        <w:rPr>
          <w:rFonts w:ascii="Times New Roman" w:eastAsia="Times New Roman" w:hAnsi="Times New Roman" w:cs="Times New Roman"/>
          <w:color w:val="000000"/>
          <w:sz w:val="24"/>
          <w:szCs w:val="24"/>
          <w:lang w:eastAsia="en-CA"/>
        </w:rPr>
        <w:t>Gerontol</w:t>
      </w:r>
      <w:proofErr w:type="spellEnd"/>
      <w:r w:rsidRPr="007431AB">
        <w:rPr>
          <w:rFonts w:ascii="Times New Roman" w:eastAsia="Times New Roman" w:hAnsi="Times New Roman" w:cs="Times New Roman"/>
          <w:color w:val="000000"/>
          <w:sz w:val="24"/>
          <w:szCs w:val="24"/>
          <w:lang w:eastAsia="en-CA"/>
        </w:rPr>
        <w:t xml:space="preserve"> </w:t>
      </w:r>
      <w:proofErr w:type="gramStart"/>
      <w:r w:rsidRPr="007431AB">
        <w:rPr>
          <w:rFonts w:ascii="Times New Roman" w:eastAsia="Times New Roman" w:hAnsi="Times New Roman" w:cs="Times New Roman"/>
          <w:color w:val="000000"/>
          <w:sz w:val="24"/>
          <w:szCs w:val="24"/>
          <w:lang w:eastAsia="en-CA"/>
        </w:rPr>
        <w:t>A</w:t>
      </w:r>
      <w:proofErr w:type="gram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Biol</w:t>
      </w:r>
      <w:proofErr w:type="spellEnd"/>
      <w:r w:rsidRPr="007431AB">
        <w:rPr>
          <w:rFonts w:ascii="Times New Roman" w:eastAsia="Times New Roman" w:hAnsi="Times New Roman" w:cs="Times New Roman"/>
          <w:color w:val="000000"/>
          <w:sz w:val="24"/>
          <w:szCs w:val="24"/>
          <w:lang w:eastAsia="en-CA"/>
        </w:rPr>
        <w:t xml:space="preserve"> Sci Med Sci 62: 1172–1181 [</w:t>
      </w:r>
      <w:hyperlink r:id="rId9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A91A17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Heberlein</w:t>
      </w:r>
      <w:proofErr w:type="spellEnd"/>
      <w:r w:rsidRPr="007431AB">
        <w:rPr>
          <w:rFonts w:ascii="Times New Roman" w:eastAsia="Times New Roman" w:hAnsi="Times New Roman" w:cs="Times New Roman"/>
          <w:color w:val="000000"/>
          <w:sz w:val="24"/>
          <w:szCs w:val="24"/>
          <w:lang w:eastAsia="en-CA"/>
        </w:rPr>
        <w:t xml:space="preserve"> A., Bleich S., </w:t>
      </w:r>
      <w:proofErr w:type="spellStart"/>
      <w:r w:rsidRPr="007431AB">
        <w:rPr>
          <w:rFonts w:ascii="Times New Roman" w:eastAsia="Times New Roman" w:hAnsi="Times New Roman" w:cs="Times New Roman"/>
          <w:color w:val="000000"/>
          <w:sz w:val="24"/>
          <w:szCs w:val="24"/>
          <w:lang w:eastAsia="en-CA"/>
        </w:rPr>
        <w:t>Kornhuber</w:t>
      </w:r>
      <w:proofErr w:type="spellEnd"/>
      <w:r w:rsidRPr="007431AB">
        <w:rPr>
          <w:rFonts w:ascii="Times New Roman" w:eastAsia="Times New Roman" w:hAnsi="Times New Roman" w:cs="Times New Roman"/>
          <w:color w:val="000000"/>
          <w:sz w:val="24"/>
          <w:szCs w:val="24"/>
          <w:lang w:eastAsia="en-CA"/>
        </w:rPr>
        <w:t xml:space="preserve"> J., </w:t>
      </w:r>
      <w:proofErr w:type="spellStart"/>
      <w:r w:rsidRPr="007431AB">
        <w:rPr>
          <w:rFonts w:ascii="Times New Roman" w:eastAsia="Times New Roman" w:hAnsi="Times New Roman" w:cs="Times New Roman"/>
          <w:color w:val="000000"/>
          <w:sz w:val="24"/>
          <w:szCs w:val="24"/>
          <w:lang w:eastAsia="en-CA"/>
        </w:rPr>
        <w:t>Hillemacher</w:t>
      </w:r>
      <w:proofErr w:type="spellEnd"/>
      <w:r w:rsidRPr="007431AB">
        <w:rPr>
          <w:rFonts w:ascii="Times New Roman" w:eastAsia="Times New Roman" w:hAnsi="Times New Roman" w:cs="Times New Roman"/>
          <w:color w:val="000000"/>
          <w:sz w:val="24"/>
          <w:szCs w:val="24"/>
          <w:lang w:eastAsia="en-CA"/>
        </w:rPr>
        <w:t xml:space="preserve"> T. (2008) Neuroendocrine pathways in benzodiazepine dependence: new targets for research and therapy. Hum </w:t>
      </w:r>
      <w:proofErr w:type="spellStart"/>
      <w:r w:rsidRPr="007431AB">
        <w:rPr>
          <w:rFonts w:ascii="Times New Roman" w:eastAsia="Times New Roman" w:hAnsi="Times New Roman" w:cs="Times New Roman"/>
          <w:color w:val="000000"/>
          <w:sz w:val="24"/>
          <w:szCs w:val="24"/>
          <w:lang w:eastAsia="en-CA"/>
        </w:rPr>
        <w:t>Psychopharmacol</w:t>
      </w:r>
      <w:proofErr w:type="spellEnd"/>
      <w:r w:rsidRPr="007431AB">
        <w:rPr>
          <w:rFonts w:ascii="Times New Roman" w:eastAsia="Times New Roman" w:hAnsi="Times New Roman" w:cs="Times New Roman"/>
          <w:color w:val="000000"/>
          <w:sz w:val="24"/>
          <w:szCs w:val="24"/>
          <w:lang w:eastAsia="en-CA"/>
        </w:rPr>
        <w:t> 23: 171–181 [</w:t>
      </w:r>
      <w:hyperlink r:id="rId94"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FED139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Heinrich S., Rapp K., </w:t>
      </w:r>
      <w:proofErr w:type="spellStart"/>
      <w:r w:rsidRPr="007431AB">
        <w:rPr>
          <w:rFonts w:ascii="Times New Roman" w:eastAsia="Times New Roman" w:hAnsi="Times New Roman" w:cs="Times New Roman"/>
          <w:color w:val="000000"/>
          <w:sz w:val="24"/>
          <w:szCs w:val="24"/>
          <w:lang w:eastAsia="en-CA"/>
        </w:rPr>
        <w:t>Rissmann</w:t>
      </w:r>
      <w:proofErr w:type="spellEnd"/>
      <w:r w:rsidRPr="007431AB">
        <w:rPr>
          <w:rFonts w:ascii="Times New Roman" w:eastAsia="Times New Roman" w:hAnsi="Times New Roman" w:cs="Times New Roman"/>
          <w:color w:val="000000"/>
          <w:sz w:val="24"/>
          <w:szCs w:val="24"/>
          <w:lang w:eastAsia="en-CA"/>
        </w:rPr>
        <w:t xml:space="preserve"> U., Becker C., </w:t>
      </w:r>
      <w:proofErr w:type="spellStart"/>
      <w:r w:rsidRPr="007431AB">
        <w:rPr>
          <w:rFonts w:ascii="Times New Roman" w:eastAsia="Times New Roman" w:hAnsi="Times New Roman" w:cs="Times New Roman"/>
          <w:color w:val="000000"/>
          <w:sz w:val="24"/>
          <w:szCs w:val="24"/>
          <w:lang w:eastAsia="en-CA"/>
        </w:rPr>
        <w:t>Konig</w:t>
      </w:r>
      <w:proofErr w:type="spellEnd"/>
      <w:r w:rsidRPr="007431AB">
        <w:rPr>
          <w:rFonts w:ascii="Times New Roman" w:eastAsia="Times New Roman" w:hAnsi="Times New Roman" w:cs="Times New Roman"/>
          <w:color w:val="000000"/>
          <w:sz w:val="24"/>
          <w:szCs w:val="24"/>
          <w:lang w:eastAsia="en-CA"/>
        </w:rPr>
        <w:t xml:space="preserve"> H. (2009) Cost of falls in old age: a systematic review. </w:t>
      </w:r>
      <w:proofErr w:type="spellStart"/>
      <w:r w:rsidRPr="007431AB">
        <w:rPr>
          <w:rFonts w:ascii="Times New Roman" w:eastAsia="Times New Roman" w:hAnsi="Times New Roman" w:cs="Times New Roman"/>
          <w:color w:val="000000"/>
          <w:sz w:val="24"/>
          <w:szCs w:val="24"/>
          <w:lang w:eastAsia="en-CA"/>
        </w:rPr>
        <w:t>Osteoporos</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Int</w:t>
      </w:r>
      <w:proofErr w:type="spellEnd"/>
      <w:r w:rsidRPr="007431AB">
        <w:rPr>
          <w:rFonts w:ascii="Times New Roman" w:eastAsia="Times New Roman" w:hAnsi="Times New Roman" w:cs="Times New Roman"/>
          <w:color w:val="000000"/>
          <w:sz w:val="24"/>
          <w:szCs w:val="24"/>
          <w:lang w:eastAsia="en-CA"/>
        </w:rPr>
        <w:t> 21: 891–902 [</w:t>
      </w:r>
      <w:hyperlink r:id="rId9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6515B098"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Iyer</w:t>
      </w:r>
      <w:proofErr w:type="spellEnd"/>
      <w:r w:rsidRPr="007431AB">
        <w:rPr>
          <w:rFonts w:ascii="Times New Roman" w:eastAsia="Times New Roman" w:hAnsi="Times New Roman" w:cs="Times New Roman"/>
          <w:color w:val="000000"/>
          <w:sz w:val="24"/>
          <w:szCs w:val="24"/>
          <w:lang w:eastAsia="en-CA"/>
        </w:rPr>
        <w:t xml:space="preserve"> S., </w:t>
      </w:r>
      <w:proofErr w:type="spellStart"/>
      <w:r w:rsidRPr="007431AB">
        <w:rPr>
          <w:rFonts w:ascii="Times New Roman" w:eastAsia="Times New Roman" w:hAnsi="Times New Roman" w:cs="Times New Roman"/>
          <w:color w:val="000000"/>
          <w:sz w:val="24"/>
          <w:szCs w:val="24"/>
          <w:lang w:eastAsia="en-CA"/>
        </w:rPr>
        <w:t>Naganathan</w:t>
      </w:r>
      <w:proofErr w:type="spellEnd"/>
      <w:r w:rsidRPr="007431AB">
        <w:rPr>
          <w:rFonts w:ascii="Times New Roman" w:eastAsia="Times New Roman" w:hAnsi="Times New Roman" w:cs="Times New Roman"/>
          <w:color w:val="000000"/>
          <w:sz w:val="24"/>
          <w:szCs w:val="24"/>
          <w:lang w:eastAsia="en-CA"/>
        </w:rPr>
        <w:t xml:space="preserve"> V., McLachlan A., Le </w:t>
      </w:r>
      <w:proofErr w:type="spellStart"/>
      <w:r w:rsidRPr="007431AB">
        <w:rPr>
          <w:rFonts w:ascii="Times New Roman" w:eastAsia="Times New Roman" w:hAnsi="Times New Roman" w:cs="Times New Roman"/>
          <w:color w:val="000000"/>
          <w:sz w:val="24"/>
          <w:szCs w:val="24"/>
          <w:lang w:eastAsia="en-CA"/>
        </w:rPr>
        <w:t>Couteur</w:t>
      </w:r>
      <w:proofErr w:type="spellEnd"/>
      <w:r w:rsidRPr="007431AB">
        <w:rPr>
          <w:rFonts w:ascii="Times New Roman" w:eastAsia="Times New Roman" w:hAnsi="Times New Roman" w:cs="Times New Roman"/>
          <w:color w:val="000000"/>
          <w:sz w:val="24"/>
          <w:szCs w:val="24"/>
          <w:lang w:eastAsia="en-CA"/>
        </w:rPr>
        <w:t xml:space="preserve"> D. (2008) Medication withdrawal trials in people aged 65 years and older: a systematic review. Drugs Aging 25: 1021–1031 [</w:t>
      </w:r>
      <w:hyperlink r:id="rId96"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0C249329"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Joester</w:t>
      </w:r>
      <w:proofErr w:type="spellEnd"/>
      <w:r w:rsidRPr="007431AB">
        <w:rPr>
          <w:rFonts w:ascii="Times New Roman" w:eastAsia="Times New Roman" w:hAnsi="Times New Roman" w:cs="Times New Roman"/>
          <w:color w:val="000000"/>
          <w:sz w:val="24"/>
          <w:szCs w:val="24"/>
          <w:lang w:eastAsia="en-CA"/>
        </w:rPr>
        <w:t xml:space="preserve"> J., Vogler C., Chang K., </w:t>
      </w:r>
      <w:proofErr w:type="spellStart"/>
      <w:r w:rsidRPr="007431AB">
        <w:rPr>
          <w:rFonts w:ascii="Times New Roman" w:eastAsia="Times New Roman" w:hAnsi="Times New Roman" w:cs="Times New Roman"/>
          <w:color w:val="000000"/>
          <w:sz w:val="24"/>
          <w:szCs w:val="24"/>
          <w:lang w:eastAsia="en-CA"/>
        </w:rPr>
        <w:t>Hilmer</w:t>
      </w:r>
      <w:proofErr w:type="spellEnd"/>
      <w:r w:rsidRPr="007431AB">
        <w:rPr>
          <w:rFonts w:ascii="Times New Roman" w:eastAsia="Times New Roman" w:hAnsi="Times New Roman" w:cs="Times New Roman"/>
          <w:color w:val="000000"/>
          <w:sz w:val="24"/>
          <w:szCs w:val="24"/>
          <w:lang w:eastAsia="en-CA"/>
        </w:rPr>
        <w:t xml:space="preserve"> S. (2010) </w:t>
      </w:r>
      <w:proofErr w:type="spellStart"/>
      <w:r w:rsidRPr="007431AB">
        <w:rPr>
          <w:rFonts w:ascii="Times New Roman" w:eastAsia="Times New Roman" w:hAnsi="Times New Roman" w:cs="Times New Roman"/>
          <w:color w:val="000000"/>
          <w:sz w:val="24"/>
          <w:szCs w:val="24"/>
          <w:lang w:eastAsia="en-CA"/>
        </w:rPr>
        <w:t>Hypnosedative</w:t>
      </w:r>
      <w:proofErr w:type="spellEnd"/>
      <w:r w:rsidRPr="007431AB">
        <w:rPr>
          <w:rFonts w:ascii="Times New Roman" w:eastAsia="Times New Roman" w:hAnsi="Times New Roman" w:cs="Times New Roman"/>
          <w:color w:val="000000"/>
          <w:sz w:val="24"/>
          <w:szCs w:val="24"/>
          <w:lang w:eastAsia="en-CA"/>
        </w:rPr>
        <w:t xml:space="preserve"> use and predictors of successful withdrawal in new patients attending a falls clinic: a retrospective, cohort study. Drugs Aging 27: 915–924 [</w:t>
      </w:r>
      <w:hyperlink r:id="rId9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22E3A7F"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Kannus</w:t>
      </w:r>
      <w:proofErr w:type="spellEnd"/>
      <w:r w:rsidRPr="007431AB">
        <w:rPr>
          <w:rFonts w:ascii="Times New Roman" w:eastAsia="Times New Roman" w:hAnsi="Times New Roman" w:cs="Times New Roman"/>
          <w:color w:val="000000"/>
          <w:sz w:val="24"/>
          <w:szCs w:val="24"/>
          <w:lang w:eastAsia="en-CA"/>
        </w:rPr>
        <w:t xml:space="preserve"> P., </w:t>
      </w:r>
      <w:proofErr w:type="spellStart"/>
      <w:r w:rsidRPr="007431AB">
        <w:rPr>
          <w:rFonts w:ascii="Times New Roman" w:eastAsia="Times New Roman" w:hAnsi="Times New Roman" w:cs="Times New Roman"/>
          <w:color w:val="000000"/>
          <w:sz w:val="24"/>
          <w:szCs w:val="24"/>
          <w:lang w:eastAsia="en-CA"/>
        </w:rPr>
        <w:t>Parkkari</w:t>
      </w:r>
      <w:proofErr w:type="spellEnd"/>
      <w:r w:rsidRPr="007431AB">
        <w:rPr>
          <w:rFonts w:ascii="Times New Roman" w:eastAsia="Times New Roman" w:hAnsi="Times New Roman" w:cs="Times New Roman"/>
          <w:color w:val="000000"/>
          <w:sz w:val="24"/>
          <w:szCs w:val="24"/>
          <w:lang w:eastAsia="en-CA"/>
        </w:rPr>
        <w:t xml:space="preserve"> J., Koskinen S., </w:t>
      </w:r>
      <w:proofErr w:type="spellStart"/>
      <w:r w:rsidRPr="007431AB">
        <w:rPr>
          <w:rFonts w:ascii="Times New Roman" w:eastAsia="Times New Roman" w:hAnsi="Times New Roman" w:cs="Times New Roman"/>
          <w:color w:val="000000"/>
          <w:sz w:val="24"/>
          <w:szCs w:val="24"/>
          <w:lang w:eastAsia="en-CA"/>
        </w:rPr>
        <w:t>Niemi</w:t>
      </w:r>
      <w:proofErr w:type="spellEnd"/>
      <w:r w:rsidRPr="007431AB">
        <w:rPr>
          <w:rFonts w:ascii="Times New Roman" w:eastAsia="Times New Roman" w:hAnsi="Times New Roman" w:cs="Times New Roman"/>
          <w:color w:val="000000"/>
          <w:sz w:val="24"/>
          <w:szCs w:val="24"/>
          <w:lang w:eastAsia="en-CA"/>
        </w:rPr>
        <w:t xml:space="preserve"> S., </w:t>
      </w:r>
      <w:proofErr w:type="spellStart"/>
      <w:r w:rsidRPr="007431AB">
        <w:rPr>
          <w:rFonts w:ascii="Times New Roman" w:eastAsia="Times New Roman" w:hAnsi="Times New Roman" w:cs="Times New Roman"/>
          <w:color w:val="000000"/>
          <w:sz w:val="24"/>
          <w:szCs w:val="24"/>
          <w:lang w:eastAsia="en-CA"/>
        </w:rPr>
        <w:t>Palvanen</w:t>
      </w:r>
      <w:proofErr w:type="spellEnd"/>
      <w:r w:rsidRPr="007431AB">
        <w:rPr>
          <w:rFonts w:ascii="Times New Roman" w:eastAsia="Times New Roman" w:hAnsi="Times New Roman" w:cs="Times New Roman"/>
          <w:color w:val="000000"/>
          <w:sz w:val="24"/>
          <w:szCs w:val="24"/>
          <w:lang w:eastAsia="en-CA"/>
        </w:rPr>
        <w:t xml:space="preserve"> M., </w:t>
      </w:r>
      <w:proofErr w:type="spellStart"/>
      <w:r w:rsidRPr="007431AB">
        <w:rPr>
          <w:rFonts w:ascii="Times New Roman" w:eastAsia="Times New Roman" w:hAnsi="Times New Roman" w:cs="Times New Roman"/>
          <w:color w:val="000000"/>
          <w:sz w:val="24"/>
          <w:szCs w:val="24"/>
          <w:lang w:eastAsia="en-CA"/>
        </w:rPr>
        <w:t>Jarvinen</w:t>
      </w:r>
      <w:proofErr w:type="spellEnd"/>
      <w:r w:rsidRPr="007431AB">
        <w:rPr>
          <w:rFonts w:ascii="Times New Roman" w:eastAsia="Times New Roman" w:hAnsi="Times New Roman" w:cs="Times New Roman"/>
          <w:color w:val="000000"/>
          <w:sz w:val="24"/>
          <w:szCs w:val="24"/>
          <w:lang w:eastAsia="en-CA"/>
        </w:rPr>
        <w:t xml:space="preserve"> M.,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(1999) Fall-induced injuries and deaths among older adults. JAMA 281: 1895–1899 [</w:t>
      </w:r>
      <w:hyperlink r:id="rId98"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2871996"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lastRenderedPageBreak/>
        <w:t>Landi</w:t>
      </w:r>
      <w:proofErr w:type="spellEnd"/>
      <w:r w:rsidRPr="007431AB">
        <w:rPr>
          <w:rFonts w:ascii="Times New Roman" w:eastAsia="Times New Roman" w:hAnsi="Times New Roman" w:cs="Times New Roman"/>
          <w:color w:val="000000"/>
          <w:sz w:val="24"/>
          <w:szCs w:val="24"/>
          <w:lang w:eastAsia="en-CA"/>
        </w:rPr>
        <w:t xml:space="preserve"> F., </w:t>
      </w:r>
      <w:proofErr w:type="spellStart"/>
      <w:r w:rsidRPr="007431AB">
        <w:rPr>
          <w:rFonts w:ascii="Times New Roman" w:eastAsia="Times New Roman" w:hAnsi="Times New Roman" w:cs="Times New Roman"/>
          <w:color w:val="000000"/>
          <w:sz w:val="24"/>
          <w:szCs w:val="24"/>
          <w:lang w:eastAsia="en-CA"/>
        </w:rPr>
        <w:t>Onder</w:t>
      </w:r>
      <w:proofErr w:type="spellEnd"/>
      <w:r w:rsidRPr="007431AB">
        <w:rPr>
          <w:rFonts w:ascii="Times New Roman" w:eastAsia="Times New Roman" w:hAnsi="Times New Roman" w:cs="Times New Roman"/>
          <w:color w:val="000000"/>
          <w:sz w:val="24"/>
          <w:szCs w:val="24"/>
          <w:lang w:eastAsia="en-CA"/>
        </w:rPr>
        <w:t xml:space="preserve"> G., </w:t>
      </w:r>
      <w:proofErr w:type="spellStart"/>
      <w:r w:rsidRPr="007431AB">
        <w:rPr>
          <w:rFonts w:ascii="Times New Roman" w:eastAsia="Times New Roman" w:hAnsi="Times New Roman" w:cs="Times New Roman"/>
          <w:color w:val="000000"/>
          <w:sz w:val="24"/>
          <w:szCs w:val="24"/>
          <w:lang w:eastAsia="en-CA"/>
        </w:rPr>
        <w:t>Cesari</w:t>
      </w:r>
      <w:proofErr w:type="spellEnd"/>
      <w:r w:rsidRPr="007431AB">
        <w:rPr>
          <w:rFonts w:ascii="Times New Roman" w:eastAsia="Times New Roman" w:hAnsi="Times New Roman" w:cs="Times New Roman"/>
          <w:color w:val="000000"/>
          <w:sz w:val="24"/>
          <w:szCs w:val="24"/>
          <w:lang w:eastAsia="en-CA"/>
        </w:rPr>
        <w:t xml:space="preserve"> M., </w:t>
      </w:r>
      <w:proofErr w:type="spellStart"/>
      <w:r w:rsidRPr="007431AB">
        <w:rPr>
          <w:rFonts w:ascii="Times New Roman" w:eastAsia="Times New Roman" w:hAnsi="Times New Roman" w:cs="Times New Roman"/>
          <w:color w:val="000000"/>
          <w:sz w:val="24"/>
          <w:szCs w:val="24"/>
          <w:lang w:eastAsia="en-CA"/>
        </w:rPr>
        <w:t>Barillaro</w:t>
      </w:r>
      <w:proofErr w:type="spellEnd"/>
      <w:r w:rsidRPr="007431AB">
        <w:rPr>
          <w:rFonts w:ascii="Times New Roman" w:eastAsia="Times New Roman" w:hAnsi="Times New Roman" w:cs="Times New Roman"/>
          <w:color w:val="000000"/>
          <w:sz w:val="24"/>
          <w:szCs w:val="24"/>
          <w:lang w:eastAsia="en-CA"/>
        </w:rPr>
        <w:t xml:space="preserve"> C., Russo A., </w:t>
      </w:r>
      <w:proofErr w:type="spellStart"/>
      <w:r w:rsidRPr="007431AB">
        <w:rPr>
          <w:rFonts w:ascii="Times New Roman" w:eastAsia="Times New Roman" w:hAnsi="Times New Roman" w:cs="Times New Roman"/>
          <w:color w:val="000000"/>
          <w:sz w:val="24"/>
          <w:szCs w:val="24"/>
          <w:lang w:eastAsia="en-CA"/>
        </w:rPr>
        <w:t>Bernabei</w:t>
      </w:r>
      <w:proofErr w:type="spellEnd"/>
      <w:r w:rsidRPr="007431AB">
        <w:rPr>
          <w:rFonts w:ascii="Times New Roman" w:eastAsia="Times New Roman" w:hAnsi="Times New Roman" w:cs="Times New Roman"/>
          <w:color w:val="000000"/>
          <w:sz w:val="24"/>
          <w:szCs w:val="24"/>
          <w:lang w:eastAsia="en-CA"/>
        </w:rPr>
        <w:t xml:space="preserve"> R. (2005) Psychotropic medications and risk for falls among community-dwelling frail older people: an observational study. J </w:t>
      </w:r>
      <w:proofErr w:type="spellStart"/>
      <w:r w:rsidRPr="007431AB">
        <w:rPr>
          <w:rFonts w:ascii="Times New Roman" w:eastAsia="Times New Roman" w:hAnsi="Times New Roman" w:cs="Times New Roman"/>
          <w:color w:val="000000"/>
          <w:sz w:val="24"/>
          <w:szCs w:val="24"/>
          <w:lang w:eastAsia="en-CA"/>
        </w:rPr>
        <w:t>Gerontol</w:t>
      </w:r>
      <w:proofErr w:type="spellEnd"/>
      <w:r w:rsidRPr="007431AB">
        <w:rPr>
          <w:rFonts w:ascii="Times New Roman" w:eastAsia="Times New Roman" w:hAnsi="Times New Roman" w:cs="Times New Roman"/>
          <w:color w:val="000000"/>
          <w:sz w:val="24"/>
          <w:szCs w:val="24"/>
          <w:lang w:eastAsia="en-CA"/>
        </w:rPr>
        <w:t xml:space="preserve"> </w:t>
      </w:r>
      <w:proofErr w:type="gramStart"/>
      <w:r w:rsidRPr="007431AB">
        <w:rPr>
          <w:rFonts w:ascii="Times New Roman" w:eastAsia="Times New Roman" w:hAnsi="Times New Roman" w:cs="Times New Roman"/>
          <w:color w:val="000000"/>
          <w:sz w:val="24"/>
          <w:szCs w:val="24"/>
          <w:lang w:eastAsia="en-CA"/>
        </w:rPr>
        <w:t>A</w:t>
      </w:r>
      <w:proofErr w:type="gram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Biol</w:t>
      </w:r>
      <w:proofErr w:type="spellEnd"/>
      <w:r w:rsidRPr="007431AB">
        <w:rPr>
          <w:rFonts w:ascii="Times New Roman" w:eastAsia="Times New Roman" w:hAnsi="Times New Roman" w:cs="Times New Roman"/>
          <w:color w:val="000000"/>
          <w:sz w:val="24"/>
          <w:szCs w:val="24"/>
          <w:lang w:eastAsia="en-CA"/>
        </w:rPr>
        <w:t xml:space="preserve"> Sci Med Sci 60: 622–626 [</w:t>
      </w:r>
      <w:hyperlink r:id="rId9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3ED8EA5"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Lechevallier</w:t>
      </w:r>
      <w:proofErr w:type="spellEnd"/>
      <w:r w:rsidRPr="007431AB">
        <w:rPr>
          <w:rFonts w:ascii="Times New Roman" w:eastAsia="Times New Roman" w:hAnsi="Times New Roman" w:cs="Times New Roman"/>
          <w:color w:val="000000"/>
          <w:sz w:val="24"/>
          <w:szCs w:val="24"/>
          <w:lang w:eastAsia="en-CA"/>
        </w:rPr>
        <w:t xml:space="preserve"> N., </w:t>
      </w:r>
      <w:proofErr w:type="spellStart"/>
      <w:r w:rsidRPr="007431AB">
        <w:rPr>
          <w:rFonts w:ascii="Times New Roman" w:eastAsia="Times New Roman" w:hAnsi="Times New Roman" w:cs="Times New Roman"/>
          <w:color w:val="000000"/>
          <w:sz w:val="24"/>
          <w:szCs w:val="24"/>
          <w:lang w:eastAsia="en-CA"/>
        </w:rPr>
        <w:t>Fourrier</w:t>
      </w:r>
      <w:proofErr w:type="spellEnd"/>
      <w:r w:rsidRPr="007431AB">
        <w:rPr>
          <w:rFonts w:ascii="Times New Roman" w:eastAsia="Times New Roman" w:hAnsi="Times New Roman" w:cs="Times New Roman"/>
          <w:color w:val="000000"/>
          <w:sz w:val="24"/>
          <w:szCs w:val="24"/>
          <w:lang w:eastAsia="en-CA"/>
        </w:rPr>
        <w:t xml:space="preserve"> A., </w:t>
      </w:r>
      <w:proofErr w:type="spellStart"/>
      <w:r w:rsidRPr="007431AB">
        <w:rPr>
          <w:rFonts w:ascii="Times New Roman" w:eastAsia="Times New Roman" w:hAnsi="Times New Roman" w:cs="Times New Roman"/>
          <w:color w:val="000000"/>
          <w:sz w:val="24"/>
          <w:szCs w:val="24"/>
          <w:lang w:eastAsia="en-CA"/>
        </w:rPr>
        <w:t>Berr</w:t>
      </w:r>
      <w:proofErr w:type="spellEnd"/>
      <w:r w:rsidRPr="007431AB">
        <w:rPr>
          <w:rFonts w:ascii="Times New Roman" w:eastAsia="Times New Roman" w:hAnsi="Times New Roman" w:cs="Times New Roman"/>
          <w:color w:val="000000"/>
          <w:sz w:val="24"/>
          <w:szCs w:val="24"/>
          <w:lang w:eastAsia="en-CA"/>
        </w:rPr>
        <w:t xml:space="preserve"> C. (2003) [Benzodiazepine use in the elderly: the EVA Study]. Rev Epidemiol </w:t>
      </w:r>
      <w:proofErr w:type="spellStart"/>
      <w:r w:rsidRPr="007431AB">
        <w:rPr>
          <w:rFonts w:ascii="Times New Roman" w:eastAsia="Times New Roman" w:hAnsi="Times New Roman" w:cs="Times New Roman"/>
          <w:color w:val="000000"/>
          <w:sz w:val="24"/>
          <w:szCs w:val="24"/>
          <w:lang w:eastAsia="en-CA"/>
        </w:rPr>
        <w:t>Sante</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Publique</w:t>
      </w:r>
      <w:proofErr w:type="spellEnd"/>
      <w:r w:rsidRPr="007431AB">
        <w:rPr>
          <w:rFonts w:ascii="Times New Roman" w:eastAsia="Times New Roman" w:hAnsi="Times New Roman" w:cs="Times New Roman"/>
          <w:color w:val="000000"/>
          <w:sz w:val="24"/>
          <w:szCs w:val="24"/>
          <w:lang w:eastAsia="en-CA"/>
        </w:rPr>
        <w:t> 51: 317–326 [</w:t>
      </w:r>
      <w:hyperlink r:id="rId10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0B86333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Leendertse</w:t>
      </w:r>
      <w:proofErr w:type="spellEnd"/>
      <w:r w:rsidRPr="007431AB">
        <w:rPr>
          <w:rFonts w:ascii="Times New Roman" w:eastAsia="Times New Roman" w:hAnsi="Times New Roman" w:cs="Times New Roman"/>
          <w:color w:val="000000"/>
          <w:sz w:val="24"/>
          <w:szCs w:val="24"/>
          <w:lang w:eastAsia="en-CA"/>
        </w:rPr>
        <w:t xml:space="preserve"> A., Egberts A., Stoker L., van den </w:t>
      </w:r>
      <w:proofErr w:type="spellStart"/>
      <w:r w:rsidRPr="007431AB">
        <w:rPr>
          <w:rFonts w:ascii="Times New Roman" w:eastAsia="Times New Roman" w:hAnsi="Times New Roman" w:cs="Times New Roman"/>
          <w:color w:val="000000"/>
          <w:sz w:val="24"/>
          <w:szCs w:val="24"/>
          <w:lang w:eastAsia="en-CA"/>
        </w:rPr>
        <w:t>Bemt</w:t>
      </w:r>
      <w:proofErr w:type="spellEnd"/>
      <w:r w:rsidRPr="007431AB">
        <w:rPr>
          <w:rFonts w:ascii="Times New Roman" w:eastAsia="Times New Roman" w:hAnsi="Times New Roman" w:cs="Times New Roman"/>
          <w:color w:val="000000"/>
          <w:sz w:val="24"/>
          <w:szCs w:val="24"/>
          <w:lang w:eastAsia="en-CA"/>
        </w:rPr>
        <w:t xml:space="preserve"> P. (2008) Frequency of and risk factors for preventable medication-related hospital admissions in the Netherlands. Arch Intern Med 168: 1890–1896 [</w:t>
      </w:r>
      <w:hyperlink r:id="rId101"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3667DF09"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Leipzig R., Cumming R., Tinetti M. (1999a) Drugs and falls in older people: a systematic review and meta-analysis: I. Psychotropic drugs.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47: 30–39 [</w:t>
      </w:r>
      <w:hyperlink r:id="rId10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9E42121"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Leipzig R., Cumming R., Tinetti M. (1999b) Drugs and falls in older people: a systematic review and meta-analysis: II. Cardiac and analgesic drugs.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47: 40–50 [</w:t>
      </w:r>
      <w:hyperlink r:id="rId10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FD7C60E"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Martin R., Hilton S., Kerry S., Richards N. (1997) General practitioners’ perceptions of the tolerability of antidepressant drugs: a comparison of selective serotonin reuptake inhibitors and tricyclic antidepressants. BMJ 314: 646–651 [</w:t>
      </w:r>
      <w:hyperlink r:id="rId104"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0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3D5E379"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Nevitt M., Cummings S., Kidd S., Black D. (1989) Risk factors for recurrent </w:t>
      </w:r>
      <w:proofErr w:type="spellStart"/>
      <w:r w:rsidRPr="007431AB">
        <w:rPr>
          <w:rFonts w:ascii="Times New Roman" w:eastAsia="Times New Roman" w:hAnsi="Times New Roman" w:cs="Times New Roman"/>
          <w:color w:val="000000"/>
          <w:sz w:val="24"/>
          <w:szCs w:val="24"/>
          <w:lang w:eastAsia="en-CA"/>
        </w:rPr>
        <w:t>nonsyncopal</w:t>
      </w:r>
      <w:proofErr w:type="spellEnd"/>
      <w:r w:rsidRPr="007431AB">
        <w:rPr>
          <w:rFonts w:ascii="Times New Roman" w:eastAsia="Times New Roman" w:hAnsi="Times New Roman" w:cs="Times New Roman"/>
          <w:color w:val="000000"/>
          <w:sz w:val="24"/>
          <w:szCs w:val="24"/>
          <w:lang w:eastAsia="en-CA"/>
        </w:rPr>
        <w:t xml:space="preserve"> falls. JAMA261: 2663–2668 [</w:t>
      </w:r>
      <w:hyperlink r:id="rId106"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F84715F"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Neyens</w:t>
      </w:r>
      <w:proofErr w:type="spellEnd"/>
      <w:r w:rsidRPr="007431AB">
        <w:rPr>
          <w:rFonts w:ascii="Times New Roman" w:eastAsia="Times New Roman" w:hAnsi="Times New Roman" w:cs="Times New Roman"/>
          <w:color w:val="000000"/>
          <w:sz w:val="24"/>
          <w:szCs w:val="24"/>
          <w:lang w:eastAsia="en-CA"/>
        </w:rPr>
        <w:t xml:space="preserve"> J., </w:t>
      </w:r>
      <w:proofErr w:type="spellStart"/>
      <w:r w:rsidRPr="007431AB">
        <w:rPr>
          <w:rFonts w:ascii="Times New Roman" w:eastAsia="Times New Roman" w:hAnsi="Times New Roman" w:cs="Times New Roman"/>
          <w:color w:val="000000"/>
          <w:sz w:val="24"/>
          <w:szCs w:val="24"/>
          <w:lang w:eastAsia="en-CA"/>
        </w:rPr>
        <w:t>Dijcks</w:t>
      </w:r>
      <w:proofErr w:type="spellEnd"/>
      <w:r w:rsidRPr="007431AB">
        <w:rPr>
          <w:rFonts w:ascii="Times New Roman" w:eastAsia="Times New Roman" w:hAnsi="Times New Roman" w:cs="Times New Roman"/>
          <w:color w:val="000000"/>
          <w:sz w:val="24"/>
          <w:szCs w:val="24"/>
          <w:lang w:eastAsia="en-CA"/>
        </w:rPr>
        <w:t xml:space="preserve"> B., </w:t>
      </w:r>
      <w:proofErr w:type="spellStart"/>
      <w:r w:rsidRPr="007431AB">
        <w:rPr>
          <w:rFonts w:ascii="Times New Roman" w:eastAsia="Times New Roman" w:hAnsi="Times New Roman" w:cs="Times New Roman"/>
          <w:color w:val="000000"/>
          <w:sz w:val="24"/>
          <w:szCs w:val="24"/>
          <w:lang w:eastAsia="en-CA"/>
        </w:rPr>
        <w:t>Twisk</w:t>
      </w:r>
      <w:proofErr w:type="spellEnd"/>
      <w:r w:rsidRPr="007431AB">
        <w:rPr>
          <w:rFonts w:ascii="Times New Roman" w:eastAsia="Times New Roman" w:hAnsi="Times New Roman" w:cs="Times New Roman"/>
          <w:color w:val="000000"/>
          <w:sz w:val="24"/>
          <w:szCs w:val="24"/>
          <w:lang w:eastAsia="en-CA"/>
        </w:rPr>
        <w:t xml:space="preserve"> J., </w:t>
      </w:r>
      <w:proofErr w:type="spellStart"/>
      <w:r w:rsidRPr="007431AB">
        <w:rPr>
          <w:rFonts w:ascii="Times New Roman" w:eastAsia="Times New Roman" w:hAnsi="Times New Roman" w:cs="Times New Roman"/>
          <w:color w:val="000000"/>
          <w:sz w:val="24"/>
          <w:szCs w:val="24"/>
          <w:lang w:eastAsia="en-CA"/>
        </w:rPr>
        <w:t>Schols</w:t>
      </w:r>
      <w:proofErr w:type="spellEnd"/>
      <w:r w:rsidRPr="007431AB">
        <w:rPr>
          <w:rFonts w:ascii="Times New Roman" w:eastAsia="Times New Roman" w:hAnsi="Times New Roman" w:cs="Times New Roman"/>
          <w:color w:val="000000"/>
          <w:sz w:val="24"/>
          <w:szCs w:val="24"/>
          <w:lang w:eastAsia="en-CA"/>
        </w:rPr>
        <w:t xml:space="preserve"> J., van </w:t>
      </w:r>
      <w:proofErr w:type="spellStart"/>
      <w:r w:rsidRPr="007431AB">
        <w:rPr>
          <w:rFonts w:ascii="Times New Roman" w:eastAsia="Times New Roman" w:hAnsi="Times New Roman" w:cs="Times New Roman"/>
          <w:color w:val="000000"/>
          <w:sz w:val="24"/>
          <w:szCs w:val="24"/>
          <w:lang w:eastAsia="en-CA"/>
        </w:rPr>
        <w:t>Haastregt</w:t>
      </w:r>
      <w:proofErr w:type="spellEnd"/>
      <w:r w:rsidRPr="007431AB">
        <w:rPr>
          <w:rFonts w:ascii="Times New Roman" w:eastAsia="Times New Roman" w:hAnsi="Times New Roman" w:cs="Times New Roman"/>
          <w:color w:val="000000"/>
          <w:sz w:val="24"/>
          <w:szCs w:val="24"/>
          <w:lang w:eastAsia="en-CA"/>
        </w:rPr>
        <w:t xml:space="preserve"> J., van den Heuvel J.,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(2009) A multifactorial intervention for the prevention of falls in psychogeriatric nursing home patients, a randomised controlled trial (RCT). Age Ageing 38: 194–199 [</w:t>
      </w:r>
      <w:hyperlink r:id="rId10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6FE303C"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O’Neill T., Roy D. (2005) How many people develop fractures with what outcome? Best </w:t>
      </w:r>
      <w:proofErr w:type="spellStart"/>
      <w:r w:rsidRPr="007431AB">
        <w:rPr>
          <w:rFonts w:ascii="Times New Roman" w:eastAsia="Times New Roman" w:hAnsi="Times New Roman" w:cs="Times New Roman"/>
          <w:color w:val="000000"/>
          <w:sz w:val="24"/>
          <w:szCs w:val="24"/>
          <w:lang w:eastAsia="en-CA"/>
        </w:rPr>
        <w:t>Pract</w:t>
      </w:r>
      <w:proofErr w:type="spellEnd"/>
      <w:r w:rsidRPr="007431AB">
        <w:rPr>
          <w:rFonts w:ascii="Times New Roman" w:eastAsia="Times New Roman" w:hAnsi="Times New Roman" w:cs="Times New Roman"/>
          <w:color w:val="000000"/>
          <w:sz w:val="24"/>
          <w:szCs w:val="24"/>
          <w:lang w:eastAsia="en-CA"/>
        </w:rPr>
        <w:t xml:space="preserve"> Res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Rheumatol</w:t>
      </w:r>
      <w:proofErr w:type="spellEnd"/>
      <w:r w:rsidRPr="007431AB">
        <w:rPr>
          <w:rFonts w:ascii="Times New Roman" w:eastAsia="Times New Roman" w:hAnsi="Times New Roman" w:cs="Times New Roman"/>
          <w:color w:val="000000"/>
          <w:sz w:val="24"/>
          <w:szCs w:val="24"/>
          <w:lang w:eastAsia="en-CA"/>
        </w:rPr>
        <w:t> 19: 879–895 [</w:t>
      </w:r>
      <w:hyperlink r:id="rId108"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08D6F20"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Onder</w:t>
      </w:r>
      <w:proofErr w:type="spellEnd"/>
      <w:r w:rsidRPr="007431AB">
        <w:rPr>
          <w:rFonts w:ascii="Times New Roman" w:eastAsia="Times New Roman" w:hAnsi="Times New Roman" w:cs="Times New Roman"/>
          <w:color w:val="000000"/>
          <w:sz w:val="24"/>
          <w:szCs w:val="24"/>
          <w:lang w:eastAsia="en-CA"/>
        </w:rPr>
        <w:t xml:space="preserve"> G., </w:t>
      </w:r>
      <w:proofErr w:type="spellStart"/>
      <w:r w:rsidRPr="007431AB">
        <w:rPr>
          <w:rFonts w:ascii="Times New Roman" w:eastAsia="Times New Roman" w:hAnsi="Times New Roman" w:cs="Times New Roman"/>
          <w:color w:val="000000"/>
          <w:sz w:val="24"/>
          <w:szCs w:val="24"/>
          <w:lang w:eastAsia="en-CA"/>
        </w:rPr>
        <w:t>Pedone</w:t>
      </w:r>
      <w:proofErr w:type="spellEnd"/>
      <w:r w:rsidRPr="007431AB">
        <w:rPr>
          <w:rFonts w:ascii="Times New Roman" w:eastAsia="Times New Roman" w:hAnsi="Times New Roman" w:cs="Times New Roman"/>
          <w:color w:val="000000"/>
          <w:sz w:val="24"/>
          <w:szCs w:val="24"/>
          <w:lang w:eastAsia="en-CA"/>
        </w:rPr>
        <w:t xml:space="preserve"> C., </w:t>
      </w:r>
      <w:proofErr w:type="spellStart"/>
      <w:r w:rsidRPr="007431AB">
        <w:rPr>
          <w:rFonts w:ascii="Times New Roman" w:eastAsia="Times New Roman" w:hAnsi="Times New Roman" w:cs="Times New Roman"/>
          <w:color w:val="000000"/>
          <w:sz w:val="24"/>
          <w:szCs w:val="24"/>
          <w:lang w:eastAsia="en-CA"/>
        </w:rPr>
        <w:t>Landi</w:t>
      </w:r>
      <w:proofErr w:type="spellEnd"/>
      <w:r w:rsidRPr="007431AB">
        <w:rPr>
          <w:rFonts w:ascii="Times New Roman" w:eastAsia="Times New Roman" w:hAnsi="Times New Roman" w:cs="Times New Roman"/>
          <w:color w:val="000000"/>
          <w:sz w:val="24"/>
          <w:szCs w:val="24"/>
          <w:lang w:eastAsia="en-CA"/>
        </w:rPr>
        <w:t xml:space="preserve"> F., </w:t>
      </w:r>
      <w:proofErr w:type="spellStart"/>
      <w:r w:rsidRPr="007431AB">
        <w:rPr>
          <w:rFonts w:ascii="Times New Roman" w:eastAsia="Times New Roman" w:hAnsi="Times New Roman" w:cs="Times New Roman"/>
          <w:color w:val="000000"/>
          <w:sz w:val="24"/>
          <w:szCs w:val="24"/>
          <w:lang w:eastAsia="en-CA"/>
        </w:rPr>
        <w:t>Cesari</w:t>
      </w:r>
      <w:proofErr w:type="spellEnd"/>
      <w:r w:rsidRPr="007431AB">
        <w:rPr>
          <w:rFonts w:ascii="Times New Roman" w:eastAsia="Times New Roman" w:hAnsi="Times New Roman" w:cs="Times New Roman"/>
          <w:color w:val="000000"/>
          <w:sz w:val="24"/>
          <w:szCs w:val="24"/>
          <w:lang w:eastAsia="en-CA"/>
        </w:rPr>
        <w:t xml:space="preserve"> M., Della </w:t>
      </w:r>
      <w:proofErr w:type="spellStart"/>
      <w:r w:rsidRPr="007431AB">
        <w:rPr>
          <w:rFonts w:ascii="Times New Roman" w:eastAsia="Times New Roman" w:hAnsi="Times New Roman" w:cs="Times New Roman"/>
          <w:color w:val="000000"/>
          <w:sz w:val="24"/>
          <w:szCs w:val="24"/>
          <w:lang w:eastAsia="en-CA"/>
        </w:rPr>
        <w:t>Vedova</w:t>
      </w:r>
      <w:proofErr w:type="spellEnd"/>
      <w:r w:rsidRPr="007431AB">
        <w:rPr>
          <w:rFonts w:ascii="Times New Roman" w:eastAsia="Times New Roman" w:hAnsi="Times New Roman" w:cs="Times New Roman"/>
          <w:color w:val="000000"/>
          <w:sz w:val="24"/>
          <w:szCs w:val="24"/>
          <w:lang w:eastAsia="en-CA"/>
        </w:rPr>
        <w:t xml:space="preserve"> C., </w:t>
      </w:r>
      <w:proofErr w:type="spellStart"/>
      <w:r w:rsidRPr="007431AB">
        <w:rPr>
          <w:rFonts w:ascii="Times New Roman" w:eastAsia="Times New Roman" w:hAnsi="Times New Roman" w:cs="Times New Roman"/>
          <w:color w:val="000000"/>
          <w:sz w:val="24"/>
          <w:szCs w:val="24"/>
          <w:lang w:eastAsia="en-CA"/>
        </w:rPr>
        <w:t>Bernabei</w:t>
      </w:r>
      <w:proofErr w:type="spellEnd"/>
      <w:r w:rsidRPr="007431AB">
        <w:rPr>
          <w:rFonts w:ascii="Times New Roman" w:eastAsia="Times New Roman" w:hAnsi="Times New Roman" w:cs="Times New Roman"/>
          <w:color w:val="000000"/>
          <w:sz w:val="24"/>
          <w:szCs w:val="24"/>
          <w:lang w:eastAsia="en-CA"/>
        </w:rPr>
        <w:t xml:space="preserve"> R.,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(2002) Adverse drug reactions as cause of hospital admissions: results from the Italian Group of Pharmacoepidemiology in the Elderly (GIFA). J Am </w:t>
      </w:r>
      <w:proofErr w:type="spellStart"/>
      <w:r w:rsidRPr="007431AB">
        <w:rPr>
          <w:rFonts w:ascii="Times New Roman" w:eastAsia="Times New Roman" w:hAnsi="Times New Roman" w:cs="Times New Roman"/>
          <w:color w:val="000000"/>
          <w:sz w:val="24"/>
          <w:szCs w:val="24"/>
          <w:lang w:eastAsia="en-CA"/>
        </w:rPr>
        <w:t>Geriatr</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Soc</w:t>
      </w:r>
      <w:proofErr w:type="spellEnd"/>
      <w:r w:rsidRPr="007431AB">
        <w:rPr>
          <w:rFonts w:ascii="Times New Roman" w:eastAsia="Times New Roman" w:hAnsi="Times New Roman" w:cs="Times New Roman"/>
          <w:color w:val="000000"/>
          <w:sz w:val="24"/>
          <w:szCs w:val="24"/>
          <w:lang w:eastAsia="en-CA"/>
        </w:rPr>
        <w:t> 50: 1962–1968 [</w:t>
      </w:r>
      <w:hyperlink r:id="rId10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CECE5E2"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Patel H., Bell D., </w:t>
      </w:r>
      <w:proofErr w:type="spellStart"/>
      <w:r w:rsidRPr="007431AB">
        <w:rPr>
          <w:rFonts w:ascii="Times New Roman" w:eastAsia="Times New Roman" w:hAnsi="Times New Roman" w:cs="Times New Roman"/>
          <w:color w:val="000000"/>
          <w:sz w:val="24"/>
          <w:szCs w:val="24"/>
          <w:lang w:eastAsia="en-CA"/>
        </w:rPr>
        <w:t>Molokhia</w:t>
      </w:r>
      <w:proofErr w:type="spellEnd"/>
      <w:r w:rsidRPr="007431AB">
        <w:rPr>
          <w:rFonts w:ascii="Times New Roman" w:eastAsia="Times New Roman" w:hAnsi="Times New Roman" w:cs="Times New Roman"/>
          <w:color w:val="000000"/>
          <w:sz w:val="24"/>
          <w:szCs w:val="24"/>
          <w:lang w:eastAsia="en-CA"/>
        </w:rPr>
        <w:t xml:space="preserve"> M., </w:t>
      </w:r>
      <w:proofErr w:type="spellStart"/>
      <w:r w:rsidRPr="007431AB">
        <w:rPr>
          <w:rFonts w:ascii="Times New Roman" w:eastAsia="Times New Roman" w:hAnsi="Times New Roman" w:cs="Times New Roman"/>
          <w:color w:val="000000"/>
          <w:sz w:val="24"/>
          <w:szCs w:val="24"/>
          <w:lang w:eastAsia="en-CA"/>
        </w:rPr>
        <w:t>Srishanmuganathan</w:t>
      </w:r>
      <w:proofErr w:type="spellEnd"/>
      <w:r w:rsidRPr="007431AB">
        <w:rPr>
          <w:rFonts w:ascii="Times New Roman" w:eastAsia="Times New Roman" w:hAnsi="Times New Roman" w:cs="Times New Roman"/>
          <w:color w:val="000000"/>
          <w:sz w:val="24"/>
          <w:szCs w:val="24"/>
          <w:lang w:eastAsia="en-CA"/>
        </w:rPr>
        <w:t xml:space="preserve"> J., Patel M., Car J.,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(2007) Trends in hospital admissions for adverse drug reactions in England: analysis of national hospital episode statistics 1998–2005. BMC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7: 9. [</w:t>
      </w:r>
      <w:hyperlink r:id="rId110"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11"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73BDEFA"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Patten S., Williams J., Love E. (1996) Self-reported depressive symptoms following treatment with corticosteroids and sedative-hypnotics. </w:t>
      </w:r>
      <w:proofErr w:type="spellStart"/>
      <w:r w:rsidRPr="007431AB">
        <w:rPr>
          <w:rFonts w:ascii="Times New Roman" w:eastAsia="Times New Roman" w:hAnsi="Times New Roman" w:cs="Times New Roman"/>
          <w:color w:val="000000"/>
          <w:sz w:val="24"/>
          <w:szCs w:val="24"/>
          <w:lang w:eastAsia="en-CA"/>
        </w:rPr>
        <w:t>Int</w:t>
      </w:r>
      <w:proofErr w:type="spellEnd"/>
      <w:r w:rsidRPr="007431AB">
        <w:rPr>
          <w:rFonts w:ascii="Times New Roman" w:eastAsia="Times New Roman" w:hAnsi="Times New Roman" w:cs="Times New Roman"/>
          <w:color w:val="000000"/>
          <w:sz w:val="24"/>
          <w:szCs w:val="24"/>
          <w:lang w:eastAsia="en-CA"/>
        </w:rPr>
        <w:t xml:space="preserve"> J Psychiatry Med 26: 15–24 [</w:t>
      </w:r>
      <w:hyperlink r:id="rId11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EE5E86C"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val="fr-FR" w:eastAsia="en-CA"/>
        </w:rPr>
        <w:t>Pierfitte</w:t>
      </w:r>
      <w:proofErr w:type="spellEnd"/>
      <w:r w:rsidRPr="007431AB">
        <w:rPr>
          <w:rFonts w:ascii="Times New Roman" w:eastAsia="Times New Roman" w:hAnsi="Times New Roman" w:cs="Times New Roman"/>
          <w:color w:val="000000"/>
          <w:sz w:val="24"/>
          <w:szCs w:val="24"/>
          <w:lang w:val="fr-FR" w:eastAsia="en-CA"/>
        </w:rPr>
        <w:t xml:space="preserve"> C., </w:t>
      </w:r>
      <w:proofErr w:type="spellStart"/>
      <w:r w:rsidRPr="007431AB">
        <w:rPr>
          <w:rFonts w:ascii="Times New Roman" w:eastAsia="Times New Roman" w:hAnsi="Times New Roman" w:cs="Times New Roman"/>
          <w:color w:val="000000"/>
          <w:sz w:val="24"/>
          <w:szCs w:val="24"/>
          <w:lang w:val="fr-FR" w:eastAsia="en-CA"/>
        </w:rPr>
        <w:t>Macouillard</w:t>
      </w:r>
      <w:proofErr w:type="spellEnd"/>
      <w:r w:rsidRPr="007431AB">
        <w:rPr>
          <w:rFonts w:ascii="Times New Roman" w:eastAsia="Times New Roman" w:hAnsi="Times New Roman" w:cs="Times New Roman"/>
          <w:color w:val="000000"/>
          <w:sz w:val="24"/>
          <w:szCs w:val="24"/>
          <w:lang w:val="fr-FR" w:eastAsia="en-CA"/>
        </w:rPr>
        <w:t xml:space="preserve"> G., </w:t>
      </w:r>
      <w:proofErr w:type="spellStart"/>
      <w:r w:rsidRPr="007431AB">
        <w:rPr>
          <w:rFonts w:ascii="Times New Roman" w:eastAsia="Times New Roman" w:hAnsi="Times New Roman" w:cs="Times New Roman"/>
          <w:color w:val="000000"/>
          <w:sz w:val="24"/>
          <w:szCs w:val="24"/>
          <w:lang w:val="fr-FR" w:eastAsia="en-CA"/>
        </w:rPr>
        <w:t>Thicoipe</w:t>
      </w:r>
      <w:proofErr w:type="spellEnd"/>
      <w:r w:rsidRPr="007431AB">
        <w:rPr>
          <w:rFonts w:ascii="Times New Roman" w:eastAsia="Times New Roman" w:hAnsi="Times New Roman" w:cs="Times New Roman"/>
          <w:color w:val="000000"/>
          <w:sz w:val="24"/>
          <w:szCs w:val="24"/>
          <w:lang w:val="fr-FR" w:eastAsia="en-CA"/>
        </w:rPr>
        <w:t xml:space="preserve"> M., </w:t>
      </w:r>
      <w:proofErr w:type="spellStart"/>
      <w:r w:rsidRPr="007431AB">
        <w:rPr>
          <w:rFonts w:ascii="Times New Roman" w:eastAsia="Times New Roman" w:hAnsi="Times New Roman" w:cs="Times New Roman"/>
          <w:color w:val="000000"/>
          <w:sz w:val="24"/>
          <w:szCs w:val="24"/>
          <w:lang w:val="fr-FR" w:eastAsia="en-CA"/>
        </w:rPr>
        <w:t>Chaslerie</w:t>
      </w:r>
      <w:proofErr w:type="spellEnd"/>
      <w:r w:rsidRPr="007431AB">
        <w:rPr>
          <w:rFonts w:ascii="Times New Roman" w:eastAsia="Times New Roman" w:hAnsi="Times New Roman" w:cs="Times New Roman"/>
          <w:color w:val="000000"/>
          <w:sz w:val="24"/>
          <w:szCs w:val="24"/>
          <w:lang w:val="fr-FR" w:eastAsia="en-CA"/>
        </w:rPr>
        <w:t xml:space="preserve"> A., </w:t>
      </w:r>
      <w:proofErr w:type="spellStart"/>
      <w:r w:rsidRPr="007431AB">
        <w:rPr>
          <w:rFonts w:ascii="Times New Roman" w:eastAsia="Times New Roman" w:hAnsi="Times New Roman" w:cs="Times New Roman"/>
          <w:color w:val="000000"/>
          <w:sz w:val="24"/>
          <w:szCs w:val="24"/>
          <w:lang w:val="fr-FR" w:eastAsia="en-CA"/>
        </w:rPr>
        <w:t>Pehourcq</w:t>
      </w:r>
      <w:proofErr w:type="spellEnd"/>
      <w:r w:rsidRPr="007431AB">
        <w:rPr>
          <w:rFonts w:ascii="Times New Roman" w:eastAsia="Times New Roman" w:hAnsi="Times New Roman" w:cs="Times New Roman"/>
          <w:color w:val="000000"/>
          <w:sz w:val="24"/>
          <w:szCs w:val="24"/>
          <w:lang w:val="fr-FR" w:eastAsia="en-CA"/>
        </w:rPr>
        <w:t xml:space="preserve"> F., </w:t>
      </w:r>
      <w:proofErr w:type="spellStart"/>
      <w:r w:rsidRPr="007431AB">
        <w:rPr>
          <w:rFonts w:ascii="Times New Roman" w:eastAsia="Times New Roman" w:hAnsi="Times New Roman" w:cs="Times New Roman"/>
          <w:color w:val="000000"/>
          <w:sz w:val="24"/>
          <w:szCs w:val="24"/>
          <w:lang w:val="fr-FR" w:eastAsia="en-CA"/>
        </w:rPr>
        <w:t>Aissou</w:t>
      </w:r>
      <w:proofErr w:type="spellEnd"/>
      <w:r w:rsidRPr="007431AB">
        <w:rPr>
          <w:rFonts w:ascii="Times New Roman" w:eastAsia="Times New Roman" w:hAnsi="Times New Roman" w:cs="Times New Roman"/>
          <w:color w:val="000000"/>
          <w:sz w:val="24"/>
          <w:szCs w:val="24"/>
          <w:lang w:val="fr-FR" w:eastAsia="en-CA"/>
        </w:rPr>
        <w:t xml:space="preserve"> M., et al</w:t>
      </w:r>
      <w:proofErr w:type="gramStart"/>
      <w:r w:rsidRPr="007431AB">
        <w:rPr>
          <w:rFonts w:ascii="Times New Roman" w:eastAsia="Times New Roman" w:hAnsi="Times New Roman" w:cs="Times New Roman"/>
          <w:color w:val="000000"/>
          <w:sz w:val="24"/>
          <w:szCs w:val="24"/>
          <w:lang w:val="fr-FR" w:eastAsia="en-CA"/>
        </w:rPr>
        <w:t>. .</w:t>
      </w:r>
      <w:proofErr w:type="gramEnd"/>
      <w:r w:rsidRPr="007431AB">
        <w:rPr>
          <w:rFonts w:ascii="Times New Roman" w:eastAsia="Times New Roman" w:hAnsi="Times New Roman" w:cs="Times New Roman"/>
          <w:color w:val="000000"/>
          <w:sz w:val="24"/>
          <w:szCs w:val="24"/>
          <w:lang w:val="fr-FR" w:eastAsia="en-CA"/>
        </w:rPr>
        <w:t xml:space="preserve"> </w:t>
      </w:r>
      <w:r w:rsidRPr="007431AB">
        <w:rPr>
          <w:rFonts w:ascii="Times New Roman" w:eastAsia="Times New Roman" w:hAnsi="Times New Roman" w:cs="Times New Roman"/>
          <w:color w:val="000000"/>
          <w:sz w:val="24"/>
          <w:szCs w:val="24"/>
          <w:lang w:eastAsia="en-CA"/>
        </w:rPr>
        <w:t>(2001) Benzodiazepines and hip fractures in elderly people: case-control study. BMJ 322: 704–708 [</w:t>
      </w:r>
      <w:hyperlink r:id="rId113"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14"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35125BA4"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Ray W., Griffin M., Schaffner W., Baugh D., Melton L., 3rd (1987) Psychotropic drug use and the risk of hip fracture. N </w:t>
      </w:r>
      <w:proofErr w:type="spellStart"/>
      <w:r w:rsidRPr="007431AB">
        <w:rPr>
          <w:rFonts w:ascii="Times New Roman" w:eastAsia="Times New Roman" w:hAnsi="Times New Roman" w:cs="Times New Roman"/>
          <w:color w:val="000000"/>
          <w:sz w:val="24"/>
          <w:szCs w:val="24"/>
          <w:lang w:eastAsia="en-CA"/>
        </w:rPr>
        <w:t>Engl</w:t>
      </w:r>
      <w:proofErr w:type="spellEnd"/>
      <w:r w:rsidRPr="007431AB">
        <w:rPr>
          <w:rFonts w:ascii="Times New Roman" w:eastAsia="Times New Roman" w:hAnsi="Times New Roman" w:cs="Times New Roman"/>
          <w:color w:val="000000"/>
          <w:sz w:val="24"/>
          <w:szCs w:val="24"/>
          <w:lang w:eastAsia="en-CA"/>
        </w:rPr>
        <w:t xml:space="preserve"> J Med 316: 363–369 [</w:t>
      </w:r>
      <w:hyperlink r:id="rId11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C526557"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Rubenstein L., Josephson K., Robbins A. (1994) Falls in the nursing home. Ann Intern Med 121: 442–451[</w:t>
      </w:r>
      <w:hyperlink r:id="rId116"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20068E61"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Scheffer</w:t>
      </w:r>
      <w:proofErr w:type="spellEnd"/>
      <w:r w:rsidRPr="007431AB">
        <w:rPr>
          <w:rFonts w:ascii="Times New Roman" w:eastAsia="Times New Roman" w:hAnsi="Times New Roman" w:cs="Times New Roman"/>
          <w:color w:val="000000"/>
          <w:sz w:val="24"/>
          <w:szCs w:val="24"/>
          <w:lang w:eastAsia="en-CA"/>
        </w:rPr>
        <w:t xml:space="preserve"> A., </w:t>
      </w:r>
      <w:proofErr w:type="spellStart"/>
      <w:r w:rsidRPr="007431AB">
        <w:rPr>
          <w:rFonts w:ascii="Times New Roman" w:eastAsia="Times New Roman" w:hAnsi="Times New Roman" w:cs="Times New Roman"/>
          <w:color w:val="000000"/>
          <w:sz w:val="24"/>
          <w:szCs w:val="24"/>
          <w:lang w:eastAsia="en-CA"/>
        </w:rPr>
        <w:t>Schuurmans</w:t>
      </w:r>
      <w:proofErr w:type="spellEnd"/>
      <w:r w:rsidRPr="007431AB">
        <w:rPr>
          <w:rFonts w:ascii="Times New Roman" w:eastAsia="Times New Roman" w:hAnsi="Times New Roman" w:cs="Times New Roman"/>
          <w:color w:val="000000"/>
          <w:sz w:val="24"/>
          <w:szCs w:val="24"/>
          <w:lang w:eastAsia="en-CA"/>
        </w:rPr>
        <w:t xml:space="preserve"> M., van Dijk N., van der </w:t>
      </w:r>
      <w:proofErr w:type="spellStart"/>
      <w:r w:rsidRPr="007431AB">
        <w:rPr>
          <w:rFonts w:ascii="Times New Roman" w:eastAsia="Times New Roman" w:hAnsi="Times New Roman" w:cs="Times New Roman"/>
          <w:color w:val="000000"/>
          <w:sz w:val="24"/>
          <w:szCs w:val="24"/>
          <w:lang w:eastAsia="en-CA"/>
        </w:rPr>
        <w:t>Hooft</w:t>
      </w:r>
      <w:proofErr w:type="spellEnd"/>
      <w:r w:rsidRPr="007431AB">
        <w:rPr>
          <w:rFonts w:ascii="Times New Roman" w:eastAsia="Times New Roman" w:hAnsi="Times New Roman" w:cs="Times New Roman"/>
          <w:color w:val="000000"/>
          <w:sz w:val="24"/>
          <w:szCs w:val="24"/>
          <w:lang w:eastAsia="en-CA"/>
        </w:rPr>
        <w:t xml:space="preserve"> T., de </w:t>
      </w:r>
      <w:proofErr w:type="spellStart"/>
      <w:r w:rsidRPr="007431AB">
        <w:rPr>
          <w:rFonts w:ascii="Times New Roman" w:eastAsia="Times New Roman" w:hAnsi="Times New Roman" w:cs="Times New Roman"/>
          <w:color w:val="000000"/>
          <w:sz w:val="24"/>
          <w:szCs w:val="24"/>
          <w:lang w:eastAsia="en-CA"/>
        </w:rPr>
        <w:t>Rooij</w:t>
      </w:r>
      <w:proofErr w:type="spellEnd"/>
      <w:r w:rsidRPr="007431AB">
        <w:rPr>
          <w:rFonts w:ascii="Times New Roman" w:eastAsia="Times New Roman" w:hAnsi="Times New Roman" w:cs="Times New Roman"/>
          <w:color w:val="000000"/>
          <w:sz w:val="24"/>
          <w:szCs w:val="24"/>
          <w:lang w:eastAsia="en-CA"/>
        </w:rPr>
        <w:t xml:space="preserve"> S. (2008) Fear of falling: measurement strategy, prevalence, risk factors and consequences among older persons. Age Ageing 37: 19–24 [</w:t>
      </w:r>
      <w:hyperlink r:id="rId11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3690D590"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Scuffham</w:t>
      </w:r>
      <w:proofErr w:type="spellEnd"/>
      <w:r w:rsidRPr="007431AB">
        <w:rPr>
          <w:rFonts w:ascii="Times New Roman" w:eastAsia="Times New Roman" w:hAnsi="Times New Roman" w:cs="Times New Roman"/>
          <w:color w:val="000000"/>
          <w:sz w:val="24"/>
          <w:szCs w:val="24"/>
          <w:lang w:eastAsia="en-CA"/>
        </w:rPr>
        <w:t xml:space="preserve"> P., Chaplin S., </w:t>
      </w:r>
      <w:proofErr w:type="spellStart"/>
      <w:r w:rsidRPr="007431AB">
        <w:rPr>
          <w:rFonts w:ascii="Times New Roman" w:eastAsia="Times New Roman" w:hAnsi="Times New Roman" w:cs="Times New Roman"/>
          <w:color w:val="000000"/>
          <w:sz w:val="24"/>
          <w:szCs w:val="24"/>
          <w:lang w:eastAsia="en-CA"/>
        </w:rPr>
        <w:t>Legood</w:t>
      </w:r>
      <w:proofErr w:type="spellEnd"/>
      <w:r w:rsidRPr="007431AB">
        <w:rPr>
          <w:rFonts w:ascii="Times New Roman" w:eastAsia="Times New Roman" w:hAnsi="Times New Roman" w:cs="Times New Roman"/>
          <w:color w:val="000000"/>
          <w:sz w:val="24"/>
          <w:szCs w:val="24"/>
          <w:lang w:eastAsia="en-CA"/>
        </w:rPr>
        <w:t xml:space="preserve"> R. (2003) Incidence and costs of unintentional falls in older people in the United Kingdom. J Epidemiol Community Health 57: 740–744 [</w:t>
      </w:r>
      <w:hyperlink r:id="rId118"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19"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6D5DC33C"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lastRenderedPageBreak/>
        <w:t>Spinewine</w:t>
      </w:r>
      <w:proofErr w:type="spellEnd"/>
      <w:r w:rsidRPr="007431AB">
        <w:rPr>
          <w:rFonts w:ascii="Times New Roman" w:eastAsia="Times New Roman" w:hAnsi="Times New Roman" w:cs="Times New Roman"/>
          <w:color w:val="000000"/>
          <w:sz w:val="24"/>
          <w:szCs w:val="24"/>
          <w:lang w:eastAsia="en-CA"/>
        </w:rPr>
        <w:t xml:space="preserve"> A., </w:t>
      </w:r>
      <w:proofErr w:type="spellStart"/>
      <w:r w:rsidRPr="007431AB">
        <w:rPr>
          <w:rFonts w:ascii="Times New Roman" w:eastAsia="Times New Roman" w:hAnsi="Times New Roman" w:cs="Times New Roman"/>
          <w:color w:val="000000"/>
          <w:sz w:val="24"/>
          <w:szCs w:val="24"/>
          <w:lang w:eastAsia="en-CA"/>
        </w:rPr>
        <w:t>Schmader</w:t>
      </w:r>
      <w:proofErr w:type="spellEnd"/>
      <w:r w:rsidRPr="007431AB">
        <w:rPr>
          <w:rFonts w:ascii="Times New Roman" w:eastAsia="Times New Roman" w:hAnsi="Times New Roman" w:cs="Times New Roman"/>
          <w:color w:val="000000"/>
          <w:sz w:val="24"/>
          <w:szCs w:val="24"/>
          <w:lang w:eastAsia="en-CA"/>
        </w:rPr>
        <w:t xml:space="preserve"> K., Barber N., Hughes C., </w:t>
      </w:r>
      <w:proofErr w:type="spellStart"/>
      <w:r w:rsidRPr="007431AB">
        <w:rPr>
          <w:rFonts w:ascii="Times New Roman" w:eastAsia="Times New Roman" w:hAnsi="Times New Roman" w:cs="Times New Roman"/>
          <w:color w:val="000000"/>
          <w:sz w:val="24"/>
          <w:szCs w:val="24"/>
          <w:lang w:eastAsia="en-CA"/>
        </w:rPr>
        <w:t>Lapane</w:t>
      </w:r>
      <w:proofErr w:type="spellEnd"/>
      <w:r w:rsidRPr="007431AB">
        <w:rPr>
          <w:rFonts w:ascii="Times New Roman" w:eastAsia="Times New Roman" w:hAnsi="Times New Roman" w:cs="Times New Roman"/>
          <w:color w:val="000000"/>
          <w:sz w:val="24"/>
          <w:szCs w:val="24"/>
          <w:lang w:eastAsia="en-CA"/>
        </w:rPr>
        <w:t xml:space="preserve"> K., Swine C.,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(2007) Appropriate prescribing in elderly people: how well can it be measured and optimised? Lancet 370: 173–184[</w:t>
      </w:r>
      <w:hyperlink r:id="rId12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117D167"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Stel</w:t>
      </w:r>
      <w:proofErr w:type="spellEnd"/>
      <w:r w:rsidRPr="007431AB">
        <w:rPr>
          <w:rFonts w:ascii="Times New Roman" w:eastAsia="Times New Roman" w:hAnsi="Times New Roman" w:cs="Times New Roman"/>
          <w:color w:val="000000"/>
          <w:sz w:val="24"/>
          <w:szCs w:val="24"/>
          <w:lang w:eastAsia="en-CA"/>
        </w:rPr>
        <w:t xml:space="preserve"> V., Smit J., </w:t>
      </w:r>
      <w:proofErr w:type="spellStart"/>
      <w:r w:rsidRPr="007431AB">
        <w:rPr>
          <w:rFonts w:ascii="Times New Roman" w:eastAsia="Times New Roman" w:hAnsi="Times New Roman" w:cs="Times New Roman"/>
          <w:color w:val="000000"/>
          <w:sz w:val="24"/>
          <w:szCs w:val="24"/>
          <w:lang w:eastAsia="en-CA"/>
        </w:rPr>
        <w:t>Pluijm</w:t>
      </w:r>
      <w:proofErr w:type="spellEnd"/>
      <w:r w:rsidRPr="007431AB">
        <w:rPr>
          <w:rFonts w:ascii="Times New Roman" w:eastAsia="Times New Roman" w:hAnsi="Times New Roman" w:cs="Times New Roman"/>
          <w:color w:val="000000"/>
          <w:sz w:val="24"/>
          <w:szCs w:val="24"/>
          <w:lang w:eastAsia="en-CA"/>
        </w:rPr>
        <w:t xml:space="preserve"> S., Lips P. (2004) Consequences of falling in older men and women and risk factors for health service use and functional decline. Age Ageing 33: 58–65 [</w:t>
      </w:r>
      <w:hyperlink r:id="rId121"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9C938F4"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val="es-ES" w:eastAsia="en-CA"/>
        </w:rPr>
        <w:t>Sterke</w:t>
      </w:r>
      <w:proofErr w:type="spellEnd"/>
      <w:r w:rsidRPr="007431AB">
        <w:rPr>
          <w:rFonts w:ascii="Times New Roman" w:eastAsia="Times New Roman" w:hAnsi="Times New Roman" w:cs="Times New Roman"/>
          <w:color w:val="000000"/>
          <w:sz w:val="24"/>
          <w:szCs w:val="24"/>
          <w:lang w:val="es-ES" w:eastAsia="en-CA"/>
        </w:rPr>
        <w:t xml:space="preserve"> C., van </w:t>
      </w:r>
      <w:proofErr w:type="spellStart"/>
      <w:r w:rsidRPr="007431AB">
        <w:rPr>
          <w:rFonts w:ascii="Times New Roman" w:eastAsia="Times New Roman" w:hAnsi="Times New Roman" w:cs="Times New Roman"/>
          <w:color w:val="000000"/>
          <w:sz w:val="24"/>
          <w:szCs w:val="24"/>
          <w:lang w:val="es-ES" w:eastAsia="en-CA"/>
        </w:rPr>
        <w:t>Beeck</w:t>
      </w:r>
      <w:proofErr w:type="spellEnd"/>
      <w:r w:rsidRPr="007431AB">
        <w:rPr>
          <w:rFonts w:ascii="Times New Roman" w:eastAsia="Times New Roman" w:hAnsi="Times New Roman" w:cs="Times New Roman"/>
          <w:color w:val="000000"/>
          <w:sz w:val="24"/>
          <w:szCs w:val="24"/>
          <w:lang w:val="es-ES" w:eastAsia="en-CA"/>
        </w:rPr>
        <w:t xml:space="preserve"> E., van </w:t>
      </w:r>
      <w:proofErr w:type="spellStart"/>
      <w:r w:rsidRPr="007431AB">
        <w:rPr>
          <w:rFonts w:ascii="Times New Roman" w:eastAsia="Times New Roman" w:hAnsi="Times New Roman" w:cs="Times New Roman"/>
          <w:color w:val="000000"/>
          <w:sz w:val="24"/>
          <w:szCs w:val="24"/>
          <w:lang w:val="es-ES" w:eastAsia="en-CA"/>
        </w:rPr>
        <w:t>der</w:t>
      </w:r>
      <w:proofErr w:type="spellEnd"/>
      <w:r w:rsidRPr="007431AB">
        <w:rPr>
          <w:rFonts w:ascii="Times New Roman" w:eastAsia="Times New Roman" w:hAnsi="Times New Roman" w:cs="Times New Roman"/>
          <w:color w:val="000000"/>
          <w:sz w:val="24"/>
          <w:szCs w:val="24"/>
          <w:lang w:val="es-ES" w:eastAsia="en-CA"/>
        </w:rPr>
        <w:t xml:space="preserve"> Velde N., </w:t>
      </w:r>
      <w:proofErr w:type="spellStart"/>
      <w:r w:rsidRPr="007431AB">
        <w:rPr>
          <w:rFonts w:ascii="Times New Roman" w:eastAsia="Times New Roman" w:hAnsi="Times New Roman" w:cs="Times New Roman"/>
          <w:color w:val="000000"/>
          <w:sz w:val="24"/>
          <w:szCs w:val="24"/>
          <w:lang w:val="es-ES" w:eastAsia="en-CA"/>
        </w:rPr>
        <w:t>Ziere</w:t>
      </w:r>
      <w:proofErr w:type="spellEnd"/>
      <w:r w:rsidRPr="007431AB">
        <w:rPr>
          <w:rFonts w:ascii="Times New Roman" w:eastAsia="Times New Roman" w:hAnsi="Times New Roman" w:cs="Times New Roman"/>
          <w:color w:val="000000"/>
          <w:sz w:val="24"/>
          <w:szCs w:val="24"/>
          <w:lang w:val="es-ES" w:eastAsia="en-CA"/>
        </w:rPr>
        <w:t xml:space="preserve"> G., </w:t>
      </w:r>
      <w:proofErr w:type="spellStart"/>
      <w:r w:rsidRPr="007431AB">
        <w:rPr>
          <w:rFonts w:ascii="Times New Roman" w:eastAsia="Times New Roman" w:hAnsi="Times New Roman" w:cs="Times New Roman"/>
          <w:color w:val="000000"/>
          <w:sz w:val="24"/>
          <w:szCs w:val="24"/>
          <w:lang w:val="es-ES" w:eastAsia="en-CA"/>
        </w:rPr>
        <w:t>Petrovic</w:t>
      </w:r>
      <w:proofErr w:type="spellEnd"/>
      <w:r w:rsidRPr="007431AB">
        <w:rPr>
          <w:rFonts w:ascii="Times New Roman" w:eastAsia="Times New Roman" w:hAnsi="Times New Roman" w:cs="Times New Roman"/>
          <w:color w:val="000000"/>
          <w:sz w:val="24"/>
          <w:szCs w:val="24"/>
          <w:lang w:val="es-ES" w:eastAsia="en-CA"/>
        </w:rPr>
        <w:t xml:space="preserve"> M., </w:t>
      </w:r>
      <w:proofErr w:type="spellStart"/>
      <w:r w:rsidRPr="007431AB">
        <w:rPr>
          <w:rFonts w:ascii="Times New Roman" w:eastAsia="Times New Roman" w:hAnsi="Times New Roman" w:cs="Times New Roman"/>
          <w:color w:val="000000"/>
          <w:sz w:val="24"/>
          <w:szCs w:val="24"/>
          <w:lang w:val="es-ES" w:eastAsia="en-CA"/>
        </w:rPr>
        <w:t>Looman</w:t>
      </w:r>
      <w:proofErr w:type="spellEnd"/>
      <w:r w:rsidRPr="007431AB">
        <w:rPr>
          <w:rFonts w:ascii="Times New Roman" w:eastAsia="Times New Roman" w:hAnsi="Times New Roman" w:cs="Times New Roman"/>
          <w:color w:val="000000"/>
          <w:sz w:val="24"/>
          <w:szCs w:val="24"/>
          <w:lang w:val="es-ES" w:eastAsia="en-CA"/>
        </w:rPr>
        <w:t xml:space="preserve"> C., </w:t>
      </w:r>
      <w:proofErr w:type="gramStart"/>
      <w:r w:rsidRPr="007431AB">
        <w:rPr>
          <w:rFonts w:ascii="Times New Roman" w:eastAsia="Times New Roman" w:hAnsi="Times New Roman" w:cs="Times New Roman"/>
          <w:color w:val="000000"/>
          <w:sz w:val="24"/>
          <w:szCs w:val="24"/>
          <w:lang w:val="es-ES" w:eastAsia="en-CA"/>
        </w:rPr>
        <w:t>et al. .</w:t>
      </w:r>
      <w:proofErr w:type="gramEnd"/>
      <w:r w:rsidRPr="007431AB">
        <w:rPr>
          <w:rFonts w:ascii="Times New Roman" w:eastAsia="Times New Roman" w:hAnsi="Times New Roman" w:cs="Times New Roman"/>
          <w:color w:val="000000"/>
          <w:sz w:val="24"/>
          <w:szCs w:val="24"/>
          <w:lang w:val="es-ES" w:eastAsia="en-CA"/>
        </w:rPr>
        <w:t xml:space="preserve"> </w:t>
      </w:r>
      <w:r w:rsidRPr="007431AB">
        <w:rPr>
          <w:rFonts w:ascii="Times New Roman" w:eastAsia="Times New Roman" w:hAnsi="Times New Roman" w:cs="Times New Roman"/>
          <w:color w:val="000000"/>
          <w:sz w:val="24"/>
          <w:szCs w:val="24"/>
          <w:lang w:eastAsia="en-CA"/>
        </w:rPr>
        <w:t xml:space="preserve">(2012) New insights: dose–response relationship between psychotropic drugs and falls: a study in nursing home residents with dementia. J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52: 947–955 [</w:t>
      </w:r>
      <w:hyperlink r:id="rId122"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79ACEFE"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Sterke</w:t>
      </w:r>
      <w:proofErr w:type="spellEnd"/>
      <w:r w:rsidRPr="007431AB">
        <w:rPr>
          <w:rFonts w:ascii="Times New Roman" w:eastAsia="Times New Roman" w:hAnsi="Times New Roman" w:cs="Times New Roman"/>
          <w:color w:val="000000"/>
          <w:sz w:val="24"/>
          <w:szCs w:val="24"/>
          <w:lang w:eastAsia="en-CA"/>
        </w:rPr>
        <w:t xml:space="preserve"> C., </w:t>
      </w:r>
      <w:proofErr w:type="spellStart"/>
      <w:r w:rsidRPr="007431AB">
        <w:rPr>
          <w:rFonts w:ascii="Times New Roman" w:eastAsia="Times New Roman" w:hAnsi="Times New Roman" w:cs="Times New Roman"/>
          <w:color w:val="000000"/>
          <w:sz w:val="24"/>
          <w:szCs w:val="24"/>
          <w:lang w:eastAsia="en-CA"/>
        </w:rPr>
        <w:t>Verhagen</w:t>
      </w:r>
      <w:proofErr w:type="spellEnd"/>
      <w:r w:rsidRPr="007431AB">
        <w:rPr>
          <w:rFonts w:ascii="Times New Roman" w:eastAsia="Times New Roman" w:hAnsi="Times New Roman" w:cs="Times New Roman"/>
          <w:color w:val="000000"/>
          <w:sz w:val="24"/>
          <w:szCs w:val="24"/>
          <w:lang w:eastAsia="en-CA"/>
        </w:rPr>
        <w:t xml:space="preserve"> A., van </w:t>
      </w:r>
      <w:proofErr w:type="spellStart"/>
      <w:r w:rsidRPr="007431AB">
        <w:rPr>
          <w:rFonts w:ascii="Times New Roman" w:eastAsia="Times New Roman" w:hAnsi="Times New Roman" w:cs="Times New Roman"/>
          <w:color w:val="000000"/>
          <w:sz w:val="24"/>
          <w:szCs w:val="24"/>
          <w:lang w:eastAsia="en-CA"/>
        </w:rPr>
        <w:t>Beeck</w:t>
      </w:r>
      <w:proofErr w:type="spellEnd"/>
      <w:r w:rsidRPr="007431AB">
        <w:rPr>
          <w:rFonts w:ascii="Times New Roman" w:eastAsia="Times New Roman" w:hAnsi="Times New Roman" w:cs="Times New Roman"/>
          <w:color w:val="000000"/>
          <w:sz w:val="24"/>
          <w:szCs w:val="24"/>
          <w:lang w:eastAsia="en-CA"/>
        </w:rPr>
        <w:t xml:space="preserve"> E., van der </w:t>
      </w:r>
      <w:proofErr w:type="spellStart"/>
      <w:r w:rsidRPr="007431AB">
        <w:rPr>
          <w:rFonts w:ascii="Times New Roman" w:eastAsia="Times New Roman" w:hAnsi="Times New Roman" w:cs="Times New Roman"/>
          <w:color w:val="000000"/>
          <w:sz w:val="24"/>
          <w:szCs w:val="24"/>
          <w:lang w:eastAsia="en-CA"/>
        </w:rPr>
        <w:t>Cammen</w:t>
      </w:r>
      <w:proofErr w:type="spellEnd"/>
      <w:r w:rsidRPr="007431AB">
        <w:rPr>
          <w:rFonts w:ascii="Times New Roman" w:eastAsia="Times New Roman" w:hAnsi="Times New Roman" w:cs="Times New Roman"/>
          <w:color w:val="000000"/>
          <w:sz w:val="24"/>
          <w:szCs w:val="24"/>
          <w:lang w:eastAsia="en-CA"/>
        </w:rPr>
        <w:t xml:space="preserve"> T. (2008) The influence of drug use on fall incidents among nursing home residents: a systematic review. </w:t>
      </w:r>
      <w:proofErr w:type="spellStart"/>
      <w:r w:rsidRPr="007431AB">
        <w:rPr>
          <w:rFonts w:ascii="Times New Roman" w:eastAsia="Times New Roman" w:hAnsi="Times New Roman" w:cs="Times New Roman"/>
          <w:color w:val="000000"/>
          <w:sz w:val="24"/>
          <w:szCs w:val="24"/>
          <w:lang w:eastAsia="en-CA"/>
        </w:rPr>
        <w:t>Int</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Psychogeriatr</w:t>
      </w:r>
      <w:proofErr w:type="spellEnd"/>
      <w:r w:rsidRPr="007431AB">
        <w:rPr>
          <w:rFonts w:ascii="Times New Roman" w:eastAsia="Times New Roman" w:hAnsi="Times New Roman" w:cs="Times New Roman"/>
          <w:color w:val="000000"/>
          <w:sz w:val="24"/>
          <w:szCs w:val="24"/>
          <w:lang w:eastAsia="en-CA"/>
        </w:rPr>
        <w:t> 20: 890–910 [</w:t>
      </w:r>
      <w:hyperlink r:id="rId12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903C4C3"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Stevens J., Corso P., Finkelstein E., Miller T. (2006) The costs of fatal and non-fatal falls among older adults. </w:t>
      </w:r>
      <w:proofErr w:type="spellStart"/>
      <w:r w:rsidRPr="007431AB">
        <w:rPr>
          <w:rFonts w:ascii="Times New Roman" w:eastAsia="Times New Roman" w:hAnsi="Times New Roman" w:cs="Times New Roman"/>
          <w:color w:val="000000"/>
          <w:sz w:val="24"/>
          <w:szCs w:val="24"/>
          <w:lang w:eastAsia="en-CA"/>
        </w:rPr>
        <w:t>Inj</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Prev</w:t>
      </w:r>
      <w:proofErr w:type="spellEnd"/>
      <w:r w:rsidRPr="007431AB">
        <w:rPr>
          <w:rFonts w:ascii="Times New Roman" w:eastAsia="Times New Roman" w:hAnsi="Times New Roman" w:cs="Times New Roman"/>
          <w:color w:val="000000"/>
          <w:sz w:val="24"/>
          <w:szCs w:val="24"/>
          <w:lang w:eastAsia="en-CA"/>
        </w:rPr>
        <w:t> 12: 290–295 [</w:t>
      </w:r>
      <w:hyperlink r:id="rId124"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2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0A02230"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Thapa P., Gideon P., Cost T., Milam A., Ray W. (1998) Antidepressants and the risk of falls among nursing home residents. N </w:t>
      </w:r>
      <w:proofErr w:type="spellStart"/>
      <w:r w:rsidRPr="007431AB">
        <w:rPr>
          <w:rFonts w:ascii="Times New Roman" w:eastAsia="Times New Roman" w:hAnsi="Times New Roman" w:cs="Times New Roman"/>
          <w:color w:val="000000"/>
          <w:sz w:val="24"/>
          <w:szCs w:val="24"/>
          <w:lang w:eastAsia="en-CA"/>
        </w:rPr>
        <w:t>Engl</w:t>
      </w:r>
      <w:proofErr w:type="spellEnd"/>
      <w:r w:rsidRPr="007431AB">
        <w:rPr>
          <w:rFonts w:ascii="Times New Roman" w:eastAsia="Times New Roman" w:hAnsi="Times New Roman" w:cs="Times New Roman"/>
          <w:color w:val="000000"/>
          <w:sz w:val="24"/>
          <w:szCs w:val="24"/>
          <w:lang w:eastAsia="en-CA"/>
        </w:rPr>
        <w:t xml:space="preserve"> J Med 339: 875–882 [</w:t>
      </w:r>
      <w:hyperlink r:id="rId126"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5A4C71D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Tinetti M. (2003) Clinical practice. Preventing falls in elderly persons. N </w:t>
      </w:r>
      <w:proofErr w:type="spellStart"/>
      <w:r w:rsidRPr="007431AB">
        <w:rPr>
          <w:rFonts w:ascii="Times New Roman" w:eastAsia="Times New Roman" w:hAnsi="Times New Roman" w:cs="Times New Roman"/>
          <w:color w:val="000000"/>
          <w:sz w:val="24"/>
          <w:szCs w:val="24"/>
          <w:lang w:eastAsia="en-CA"/>
        </w:rPr>
        <w:t>Engl</w:t>
      </w:r>
      <w:proofErr w:type="spellEnd"/>
      <w:r w:rsidRPr="007431AB">
        <w:rPr>
          <w:rFonts w:ascii="Times New Roman" w:eastAsia="Times New Roman" w:hAnsi="Times New Roman" w:cs="Times New Roman"/>
          <w:color w:val="000000"/>
          <w:sz w:val="24"/>
          <w:szCs w:val="24"/>
          <w:lang w:eastAsia="en-CA"/>
        </w:rPr>
        <w:t xml:space="preserve"> J Med 348: 42–49[</w:t>
      </w:r>
      <w:hyperlink r:id="rId127"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1B910B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van der </w:t>
      </w:r>
      <w:proofErr w:type="spellStart"/>
      <w:r w:rsidRPr="007431AB">
        <w:rPr>
          <w:rFonts w:ascii="Times New Roman" w:eastAsia="Times New Roman" w:hAnsi="Times New Roman" w:cs="Times New Roman"/>
          <w:color w:val="000000"/>
          <w:sz w:val="24"/>
          <w:szCs w:val="24"/>
          <w:lang w:eastAsia="en-CA"/>
        </w:rPr>
        <w:t>Hooft</w:t>
      </w:r>
      <w:proofErr w:type="spellEnd"/>
      <w:r w:rsidRPr="007431AB">
        <w:rPr>
          <w:rFonts w:ascii="Times New Roman" w:eastAsia="Times New Roman" w:hAnsi="Times New Roman" w:cs="Times New Roman"/>
          <w:color w:val="000000"/>
          <w:sz w:val="24"/>
          <w:szCs w:val="24"/>
          <w:lang w:eastAsia="en-CA"/>
        </w:rPr>
        <w:t xml:space="preserve"> C., </w:t>
      </w:r>
      <w:proofErr w:type="spellStart"/>
      <w:r w:rsidRPr="007431AB">
        <w:rPr>
          <w:rFonts w:ascii="Times New Roman" w:eastAsia="Times New Roman" w:hAnsi="Times New Roman" w:cs="Times New Roman"/>
          <w:color w:val="000000"/>
          <w:sz w:val="24"/>
          <w:szCs w:val="24"/>
          <w:lang w:eastAsia="en-CA"/>
        </w:rPr>
        <w:t>Sturkenboom</w:t>
      </w:r>
      <w:proofErr w:type="spellEnd"/>
      <w:r w:rsidRPr="007431AB">
        <w:rPr>
          <w:rFonts w:ascii="Times New Roman" w:eastAsia="Times New Roman" w:hAnsi="Times New Roman" w:cs="Times New Roman"/>
          <w:color w:val="000000"/>
          <w:sz w:val="24"/>
          <w:szCs w:val="24"/>
          <w:lang w:eastAsia="en-CA"/>
        </w:rPr>
        <w:t xml:space="preserve"> M., van </w:t>
      </w:r>
      <w:proofErr w:type="spellStart"/>
      <w:r w:rsidRPr="007431AB">
        <w:rPr>
          <w:rFonts w:ascii="Times New Roman" w:eastAsia="Times New Roman" w:hAnsi="Times New Roman" w:cs="Times New Roman"/>
          <w:color w:val="000000"/>
          <w:sz w:val="24"/>
          <w:szCs w:val="24"/>
          <w:lang w:eastAsia="en-CA"/>
        </w:rPr>
        <w:t>Grootheest</w:t>
      </w:r>
      <w:proofErr w:type="spellEnd"/>
      <w:r w:rsidRPr="007431AB">
        <w:rPr>
          <w:rFonts w:ascii="Times New Roman" w:eastAsia="Times New Roman" w:hAnsi="Times New Roman" w:cs="Times New Roman"/>
          <w:color w:val="000000"/>
          <w:sz w:val="24"/>
          <w:szCs w:val="24"/>
          <w:lang w:eastAsia="en-CA"/>
        </w:rPr>
        <w:t xml:space="preserve"> K., </w:t>
      </w:r>
      <w:proofErr w:type="spellStart"/>
      <w:r w:rsidRPr="007431AB">
        <w:rPr>
          <w:rFonts w:ascii="Times New Roman" w:eastAsia="Times New Roman" w:hAnsi="Times New Roman" w:cs="Times New Roman"/>
          <w:color w:val="000000"/>
          <w:sz w:val="24"/>
          <w:szCs w:val="24"/>
          <w:lang w:eastAsia="en-CA"/>
        </w:rPr>
        <w:t>Kingma</w:t>
      </w:r>
      <w:proofErr w:type="spellEnd"/>
      <w:r w:rsidRPr="007431AB">
        <w:rPr>
          <w:rFonts w:ascii="Times New Roman" w:eastAsia="Times New Roman" w:hAnsi="Times New Roman" w:cs="Times New Roman"/>
          <w:color w:val="000000"/>
          <w:sz w:val="24"/>
          <w:szCs w:val="24"/>
          <w:lang w:eastAsia="en-CA"/>
        </w:rPr>
        <w:t xml:space="preserve"> H., Stricker B. (2006) Adverse drug reaction-related hospitalisations: a nationwide study in The Netherlands. Drug </w:t>
      </w:r>
      <w:proofErr w:type="spellStart"/>
      <w:r w:rsidRPr="007431AB">
        <w:rPr>
          <w:rFonts w:ascii="Times New Roman" w:eastAsia="Times New Roman" w:hAnsi="Times New Roman" w:cs="Times New Roman"/>
          <w:color w:val="000000"/>
          <w:sz w:val="24"/>
          <w:szCs w:val="24"/>
          <w:lang w:eastAsia="en-CA"/>
        </w:rPr>
        <w:t>Saf</w:t>
      </w:r>
      <w:proofErr w:type="spellEnd"/>
      <w:r w:rsidRPr="007431AB">
        <w:rPr>
          <w:rFonts w:ascii="Times New Roman" w:eastAsia="Times New Roman" w:hAnsi="Times New Roman" w:cs="Times New Roman"/>
          <w:color w:val="000000"/>
          <w:sz w:val="24"/>
          <w:szCs w:val="24"/>
          <w:lang w:eastAsia="en-CA"/>
        </w:rPr>
        <w:t> 29: 161–168[</w:t>
      </w:r>
      <w:hyperlink r:id="rId128"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3C3FA40"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van der Velde N., Stricker B., Pols H., van der </w:t>
      </w:r>
      <w:proofErr w:type="spellStart"/>
      <w:r w:rsidRPr="007431AB">
        <w:rPr>
          <w:rFonts w:ascii="Times New Roman" w:eastAsia="Times New Roman" w:hAnsi="Times New Roman" w:cs="Times New Roman"/>
          <w:color w:val="000000"/>
          <w:sz w:val="24"/>
          <w:szCs w:val="24"/>
          <w:lang w:eastAsia="en-CA"/>
        </w:rPr>
        <w:t>Cammen</w:t>
      </w:r>
      <w:proofErr w:type="spellEnd"/>
      <w:r w:rsidRPr="007431AB">
        <w:rPr>
          <w:rFonts w:ascii="Times New Roman" w:eastAsia="Times New Roman" w:hAnsi="Times New Roman" w:cs="Times New Roman"/>
          <w:color w:val="000000"/>
          <w:sz w:val="24"/>
          <w:szCs w:val="24"/>
          <w:lang w:eastAsia="en-CA"/>
        </w:rPr>
        <w:t xml:space="preserve"> T. (2007) Risk of falls after withdrawal of fall-risk-increasing drugs: a prospective cohort study. Br J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63: 232–237 [</w:t>
      </w:r>
      <w:hyperlink r:id="rId129"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w:t>
      </w:r>
      <w:hyperlink r:id="rId130"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4064500D"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Woolcott</w:t>
      </w:r>
      <w:proofErr w:type="spellEnd"/>
      <w:r w:rsidRPr="007431AB">
        <w:rPr>
          <w:rFonts w:ascii="Times New Roman" w:eastAsia="Times New Roman" w:hAnsi="Times New Roman" w:cs="Times New Roman"/>
          <w:color w:val="000000"/>
          <w:sz w:val="24"/>
          <w:szCs w:val="24"/>
          <w:lang w:eastAsia="en-CA"/>
        </w:rPr>
        <w:t xml:space="preserve"> J., Richardson K., Wiens M., Patel B., Marin J., Khan K., </w:t>
      </w:r>
      <w:proofErr w:type="gramStart"/>
      <w:r w:rsidRPr="007431AB">
        <w:rPr>
          <w:rFonts w:ascii="Times New Roman" w:eastAsia="Times New Roman" w:hAnsi="Times New Roman" w:cs="Times New Roman"/>
          <w:color w:val="000000"/>
          <w:sz w:val="24"/>
          <w:szCs w:val="24"/>
          <w:lang w:eastAsia="en-CA"/>
        </w:rPr>
        <w:t>et al. .</w:t>
      </w:r>
      <w:proofErr w:type="gramEnd"/>
      <w:r w:rsidRPr="007431AB">
        <w:rPr>
          <w:rFonts w:ascii="Times New Roman" w:eastAsia="Times New Roman" w:hAnsi="Times New Roman" w:cs="Times New Roman"/>
          <w:color w:val="000000"/>
          <w:sz w:val="24"/>
          <w:szCs w:val="24"/>
          <w:lang w:eastAsia="en-CA"/>
        </w:rPr>
        <w:t xml:space="preserve"> (2009) Meta-analysis of the impact of 9 medication classes on falls in elderly persons. Arch Intern Med 169: 1952–1960 [</w:t>
      </w:r>
      <w:hyperlink r:id="rId131"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635FE4A7"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World Health Organization (2004) Changing History. Geneva: World Health Organization</w:t>
      </w:r>
    </w:p>
    <w:p w14:paraId="70D3C404" w14:textId="77777777"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r w:rsidRPr="007431AB">
        <w:rPr>
          <w:rFonts w:ascii="Times New Roman" w:eastAsia="Times New Roman" w:hAnsi="Times New Roman" w:cs="Times New Roman"/>
          <w:color w:val="000000"/>
          <w:sz w:val="24"/>
          <w:szCs w:val="24"/>
          <w:lang w:eastAsia="en-CA"/>
        </w:rPr>
        <w:t xml:space="preserve">Zhang M., Holman C., Price S., </w:t>
      </w:r>
      <w:proofErr w:type="spellStart"/>
      <w:r w:rsidRPr="007431AB">
        <w:rPr>
          <w:rFonts w:ascii="Times New Roman" w:eastAsia="Times New Roman" w:hAnsi="Times New Roman" w:cs="Times New Roman"/>
          <w:color w:val="000000"/>
          <w:sz w:val="24"/>
          <w:szCs w:val="24"/>
          <w:lang w:eastAsia="en-CA"/>
        </w:rPr>
        <w:t>Sanfilippo</w:t>
      </w:r>
      <w:proofErr w:type="spellEnd"/>
      <w:r w:rsidRPr="007431AB">
        <w:rPr>
          <w:rFonts w:ascii="Times New Roman" w:eastAsia="Times New Roman" w:hAnsi="Times New Roman" w:cs="Times New Roman"/>
          <w:color w:val="000000"/>
          <w:sz w:val="24"/>
          <w:szCs w:val="24"/>
          <w:lang w:eastAsia="en-CA"/>
        </w:rPr>
        <w:t xml:space="preserve"> F., Preen D., Bulsara M. (2009) Comorbidity and repeat admission to hospital for adverse drug reactions in older adults: retrospective cohort study. BMJ 338: a2752. [</w:t>
      </w:r>
      <w:hyperlink r:id="rId132"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 [</w:t>
      </w:r>
      <w:hyperlink r:id="rId133"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1A3EE064" w14:textId="23C217A5" w:rsidR="007431AB" w:rsidRPr="007431AB" w:rsidRDefault="007431AB" w:rsidP="007431AB">
      <w:pPr>
        <w:numPr>
          <w:ilvl w:val="0"/>
          <w:numId w:val="1"/>
        </w:numPr>
        <w:spacing w:before="100" w:beforeAutospacing="1" w:after="100" w:afterAutospacing="1" w:line="240" w:lineRule="auto"/>
        <w:ind w:left="360"/>
        <w:rPr>
          <w:rFonts w:ascii="Times New Roman" w:eastAsia="Times New Roman" w:hAnsi="Times New Roman" w:cs="Times New Roman"/>
          <w:color w:val="000000"/>
          <w:sz w:val="24"/>
          <w:szCs w:val="24"/>
          <w:lang w:eastAsia="en-CA"/>
        </w:rPr>
      </w:pPr>
      <w:proofErr w:type="spellStart"/>
      <w:r w:rsidRPr="007431AB">
        <w:rPr>
          <w:rFonts w:ascii="Times New Roman" w:eastAsia="Times New Roman" w:hAnsi="Times New Roman" w:cs="Times New Roman"/>
          <w:color w:val="000000"/>
          <w:sz w:val="24"/>
          <w:szCs w:val="24"/>
          <w:lang w:eastAsia="en-CA"/>
        </w:rPr>
        <w:t>Ziere</w:t>
      </w:r>
      <w:proofErr w:type="spellEnd"/>
      <w:r w:rsidRPr="007431AB">
        <w:rPr>
          <w:rFonts w:ascii="Times New Roman" w:eastAsia="Times New Roman" w:hAnsi="Times New Roman" w:cs="Times New Roman"/>
          <w:color w:val="000000"/>
          <w:sz w:val="24"/>
          <w:szCs w:val="24"/>
          <w:lang w:eastAsia="en-CA"/>
        </w:rPr>
        <w:t xml:space="preserve"> G., </w:t>
      </w:r>
      <w:proofErr w:type="spellStart"/>
      <w:r w:rsidRPr="007431AB">
        <w:rPr>
          <w:rFonts w:ascii="Times New Roman" w:eastAsia="Times New Roman" w:hAnsi="Times New Roman" w:cs="Times New Roman"/>
          <w:color w:val="000000"/>
          <w:sz w:val="24"/>
          <w:szCs w:val="24"/>
          <w:lang w:eastAsia="en-CA"/>
        </w:rPr>
        <w:t>Dieleman</w:t>
      </w:r>
      <w:proofErr w:type="spellEnd"/>
      <w:r w:rsidRPr="007431AB">
        <w:rPr>
          <w:rFonts w:ascii="Times New Roman" w:eastAsia="Times New Roman" w:hAnsi="Times New Roman" w:cs="Times New Roman"/>
          <w:color w:val="000000"/>
          <w:sz w:val="24"/>
          <w:szCs w:val="24"/>
          <w:lang w:eastAsia="en-CA"/>
        </w:rPr>
        <w:t xml:space="preserve"> J., </w:t>
      </w:r>
      <w:proofErr w:type="spellStart"/>
      <w:r w:rsidRPr="007431AB">
        <w:rPr>
          <w:rFonts w:ascii="Times New Roman" w:eastAsia="Times New Roman" w:hAnsi="Times New Roman" w:cs="Times New Roman"/>
          <w:color w:val="000000"/>
          <w:sz w:val="24"/>
          <w:szCs w:val="24"/>
          <w:lang w:eastAsia="en-CA"/>
        </w:rPr>
        <w:t>Hofman</w:t>
      </w:r>
      <w:proofErr w:type="spellEnd"/>
      <w:r w:rsidRPr="007431AB">
        <w:rPr>
          <w:rFonts w:ascii="Times New Roman" w:eastAsia="Times New Roman" w:hAnsi="Times New Roman" w:cs="Times New Roman"/>
          <w:color w:val="000000"/>
          <w:sz w:val="24"/>
          <w:szCs w:val="24"/>
          <w:lang w:eastAsia="en-CA"/>
        </w:rPr>
        <w:t xml:space="preserve"> A., Pols H., van der </w:t>
      </w:r>
      <w:proofErr w:type="spellStart"/>
      <w:r w:rsidRPr="007431AB">
        <w:rPr>
          <w:rFonts w:ascii="Times New Roman" w:eastAsia="Times New Roman" w:hAnsi="Times New Roman" w:cs="Times New Roman"/>
          <w:color w:val="000000"/>
          <w:sz w:val="24"/>
          <w:szCs w:val="24"/>
          <w:lang w:eastAsia="en-CA"/>
        </w:rPr>
        <w:t>Cammen</w:t>
      </w:r>
      <w:proofErr w:type="spellEnd"/>
      <w:r w:rsidRPr="007431AB">
        <w:rPr>
          <w:rFonts w:ascii="Times New Roman" w:eastAsia="Times New Roman" w:hAnsi="Times New Roman" w:cs="Times New Roman"/>
          <w:color w:val="000000"/>
          <w:sz w:val="24"/>
          <w:szCs w:val="24"/>
          <w:lang w:eastAsia="en-CA"/>
        </w:rPr>
        <w:t xml:space="preserve"> T., Stricker B. (2006) Polypharmacy and falls in the middle age and elderly population. Br J </w:t>
      </w:r>
      <w:proofErr w:type="spellStart"/>
      <w:r w:rsidRPr="007431AB">
        <w:rPr>
          <w:rFonts w:ascii="Times New Roman" w:eastAsia="Times New Roman" w:hAnsi="Times New Roman" w:cs="Times New Roman"/>
          <w:color w:val="000000"/>
          <w:sz w:val="24"/>
          <w:szCs w:val="24"/>
          <w:lang w:eastAsia="en-CA"/>
        </w:rPr>
        <w:t>Clin</w:t>
      </w:r>
      <w:proofErr w:type="spellEnd"/>
      <w:r w:rsidRPr="007431AB">
        <w:rPr>
          <w:rFonts w:ascii="Times New Roman" w:eastAsia="Times New Roman" w:hAnsi="Times New Roman" w:cs="Times New Roman"/>
          <w:color w:val="000000"/>
          <w:sz w:val="24"/>
          <w:szCs w:val="24"/>
          <w:lang w:eastAsia="en-CA"/>
        </w:rPr>
        <w:t xml:space="preserve"> </w:t>
      </w:r>
      <w:proofErr w:type="spellStart"/>
      <w:r w:rsidRPr="007431AB">
        <w:rPr>
          <w:rFonts w:ascii="Times New Roman" w:eastAsia="Times New Roman" w:hAnsi="Times New Roman" w:cs="Times New Roman"/>
          <w:color w:val="000000"/>
          <w:sz w:val="24"/>
          <w:szCs w:val="24"/>
          <w:lang w:eastAsia="en-CA"/>
        </w:rPr>
        <w:t>Pharmacol</w:t>
      </w:r>
      <w:proofErr w:type="spellEnd"/>
      <w:r w:rsidRPr="007431AB">
        <w:rPr>
          <w:rFonts w:ascii="Times New Roman" w:eastAsia="Times New Roman" w:hAnsi="Times New Roman" w:cs="Times New Roman"/>
          <w:color w:val="000000"/>
          <w:sz w:val="24"/>
          <w:szCs w:val="24"/>
          <w:lang w:eastAsia="en-CA"/>
        </w:rPr>
        <w:t> 61: 218–223 [</w:t>
      </w:r>
      <w:hyperlink r:id="rId134" w:history="1">
        <w:r w:rsidRPr="007431AB">
          <w:rPr>
            <w:rFonts w:ascii="Times New Roman" w:eastAsia="Times New Roman" w:hAnsi="Times New Roman" w:cs="Times New Roman"/>
            <w:color w:val="642A8F"/>
            <w:sz w:val="24"/>
            <w:szCs w:val="24"/>
            <w:u w:val="single"/>
            <w:lang w:eastAsia="en-CA"/>
          </w:rPr>
          <w:t>PMC free article</w:t>
        </w:r>
      </w:hyperlink>
      <w:r w:rsidRPr="007431AB">
        <w:rPr>
          <w:rFonts w:ascii="Times New Roman" w:eastAsia="Times New Roman" w:hAnsi="Times New Roman" w:cs="Times New Roman"/>
          <w:color w:val="000000"/>
          <w:sz w:val="24"/>
          <w:szCs w:val="24"/>
          <w:lang w:eastAsia="en-CA"/>
        </w:rPr>
        <w:t>][</w:t>
      </w:r>
      <w:hyperlink r:id="rId135" w:tgtFrame="pmc_ext" w:history="1">
        <w:r w:rsidRPr="007431AB">
          <w:rPr>
            <w:rFonts w:ascii="Times New Roman" w:eastAsia="Times New Roman" w:hAnsi="Times New Roman" w:cs="Times New Roman"/>
            <w:color w:val="642A8F"/>
            <w:sz w:val="24"/>
            <w:szCs w:val="24"/>
            <w:u w:val="single"/>
            <w:lang w:eastAsia="en-CA"/>
          </w:rPr>
          <w:t>PubMed</w:t>
        </w:r>
      </w:hyperlink>
      <w:r w:rsidRPr="007431AB">
        <w:rPr>
          <w:rFonts w:ascii="Times New Roman" w:eastAsia="Times New Roman" w:hAnsi="Times New Roman" w:cs="Times New Roman"/>
          <w:color w:val="000000"/>
          <w:sz w:val="24"/>
          <w:szCs w:val="24"/>
          <w:lang w:eastAsia="en-CA"/>
        </w:rPr>
        <w:t>]</w:t>
      </w:r>
    </w:p>
    <w:p w14:paraId="79330BFB" w14:textId="77777777" w:rsidR="007431AB" w:rsidRPr="007431AB" w:rsidRDefault="007431AB" w:rsidP="007431AB">
      <w:pPr>
        <w:spacing w:before="332" w:after="0" w:line="393" w:lineRule="atLeast"/>
        <w:jc w:val="center"/>
        <w:rPr>
          <w:rFonts w:ascii="Arial" w:eastAsia="Times New Roman" w:hAnsi="Arial" w:cs="Arial"/>
          <w:color w:val="000000"/>
          <w:sz w:val="20"/>
          <w:szCs w:val="20"/>
          <w:lang w:eastAsia="en-CA"/>
        </w:rPr>
      </w:pPr>
      <w:r w:rsidRPr="007431AB">
        <w:rPr>
          <w:rFonts w:ascii="Arial" w:eastAsia="Times New Roman" w:hAnsi="Arial" w:cs="Arial"/>
          <w:color w:val="000000"/>
          <w:sz w:val="20"/>
          <w:szCs w:val="20"/>
          <w:lang w:eastAsia="en-CA"/>
        </w:rPr>
        <w:t>Articles from Therapeutic Advances in Drug Safety are provided here courtesy of </w:t>
      </w:r>
      <w:r w:rsidRPr="007431AB">
        <w:rPr>
          <w:rFonts w:ascii="Arial" w:eastAsia="Times New Roman" w:hAnsi="Arial" w:cs="Arial"/>
          <w:b/>
          <w:bCs/>
          <w:color w:val="000000"/>
          <w:sz w:val="20"/>
          <w:szCs w:val="20"/>
          <w:lang w:eastAsia="en-CA"/>
        </w:rPr>
        <w:t>SAGE Publications</w:t>
      </w:r>
    </w:p>
    <w:p w14:paraId="5DE80C8E" w14:textId="77777777" w:rsidR="007431AB" w:rsidRDefault="007431AB"/>
    <w:sectPr w:rsidR="007431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1674B"/>
    <w:multiLevelType w:val="multilevel"/>
    <w:tmpl w:val="DE9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AB"/>
    <w:rsid w:val="00400716"/>
    <w:rsid w:val="00644A2D"/>
    <w:rsid w:val="006A6EEB"/>
    <w:rsid w:val="00743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E44D"/>
  <w15:chartTrackingRefBased/>
  <w15:docId w15:val="{22AD6BC5-2FF4-4C76-8F1D-155079A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431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431A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7431A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1AB"/>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431AB"/>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7431AB"/>
    <w:rPr>
      <w:rFonts w:ascii="Times New Roman" w:eastAsia="Times New Roman" w:hAnsi="Times New Roman" w:cs="Times New Roman"/>
      <w:b/>
      <w:bCs/>
      <w:sz w:val="27"/>
      <w:szCs w:val="27"/>
      <w:lang w:eastAsia="en-CA"/>
    </w:rPr>
  </w:style>
  <w:style w:type="numbering" w:customStyle="1" w:styleId="NoList1">
    <w:name w:val="No List1"/>
    <w:next w:val="NoList"/>
    <w:uiPriority w:val="99"/>
    <w:semiHidden/>
    <w:unhideWhenUsed/>
    <w:rsid w:val="007431AB"/>
  </w:style>
  <w:style w:type="paragraph" w:customStyle="1" w:styleId="msonormal0">
    <w:name w:val="msonormal"/>
    <w:basedOn w:val="Normal"/>
    <w:rsid w:val="007431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7431AB"/>
    <w:rPr>
      <w:color w:val="0000FF"/>
      <w:u w:val="single"/>
    </w:rPr>
  </w:style>
  <w:style w:type="character" w:styleId="FollowedHyperlink">
    <w:name w:val="FollowedHyperlink"/>
    <w:basedOn w:val="DefaultParagraphFont"/>
    <w:uiPriority w:val="99"/>
    <w:semiHidden/>
    <w:unhideWhenUsed/>
    <w:rsid w:val="007431AB"/>
    <w:rPr>
      <w:color w:val="800080"/>
      <w:u w:val="single"/>
    </w:rPr>
  </w:style>
  <w:style w:type="paragraph" w:customStyle="1" w:styleId="p">
    <w:name w:val="p"/>
    <w:basedOn w:val="Normal"/>
    <w:rsid w:val="007431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431AB"/>
    <w:rPr>
      <w:b/>
      <w:bCs/>
    </w:rPr>
  </w:style>
  <w:style w:type="character" w:customStyle="1" w:styleId="kwd-text">
    <w:name w:val="kwd-text"/>
    <w:basedOn w:val="DefaultParagraphFont"/>
    <w:rsid w:val="007431AB"/>
  </w:style>
  <w:style w:type="character" w:styleId="Emphasis">
    <w:name w:val="Emphasis"/>
    <w:basedOn w:val="DefaultParagraphFont"/>
    <w:uiPriority w:val="20"/>
    <w:qFormat/>
    <w:rsid w:val="007431AB"/>
    <w:rPr>
      <w:i/>
      <w:iCs/>
    </w:rPr>
  </w:style>
  <w:style w:type="paragraph" w:styleId="NormalWeb">
    <w:name w:val="Normal (Web)"/>
    <w:basedOn w:val="Normal"/>
    <w:uiPriority w:val="99"/>
    <w:semiHidden/>
    <w:unhideWhenUsed/>
    <w:rsid w:val="007431A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n">
    <w:name w:val="fn"/>
    <w:basedOn w:val="Normal"/>
    <w:rsid w:val="007431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fm-affl">
    <w:name w:val="fm-affl"/>
    <w:basedOn w:val="DefaultParagraphFont"/>
    <w:rsid w:val="007431AB"/>
  </w:style>
  <w:style w:type="character" w:customStyle="1" w:styleId="mixed-citation">
    <w:name w:val="mixed-citation"/>
    <w:basedOn w:val="DefaultParagraphFont"/>
    <w:rsid w:val="007431AB"/>
  </w:style>
  <w:style w:type="character" w:customStyle="1" w:styleId="ref-title">
    <w:name w:val="ref-title"/>
    <w:basedOn w:val="DefaultParagraphFont"/>
    <w:rsid w:val="007431AB"/>
  </w:style>
  <w:style w:type="character" w:customStyle="1" w:styleId="ref-journal">
    <w:name w:val="ref-journal"/>
    <w:basedOn w:val="DefaultParagraphFont"/>
    <w:rsid w:val="007431AB"/>
  </w:style>
  <w:style w:type="character" w:customStyle="1" w:styleId="ref-vol">
    <w:name w:val="ref-vol"/>
    <w:basedOn w:val="DefaultParagraphFont"/>
    <w:rsid w:val="007431AB"/>
  </w:style>
  <w:style w:type="character" w:customStyle="1" w:styleId="nowrap">
    <w:name w:val="nowrap"/>
    <w:basedOn w:val="DefaultParagraphFont"/>
    <w:rsid w:val="007431AB"/>
  </w:style>
  <w:style w:type="character" w:customStyle="1" w:styleId="ref-iss">
    <w:name w:val="ref-iss"/>
    <w:basedOn w:val="DefaultParagraphFont"/>
    <w:rsid w:val="007431AB"/>
  </w:style>
  <w:style w:type="character" w:customStyle="1" w:styleId="acknowledgment-journal-title">
    <w:name w:val="acknowledgment-journal-title"/>
    <w:basedOn w:val="DefaultParagraphFont"/>
    <w:rsid w:val="0074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2788">
      <w:bodyDiv w:val="1"/>
      <w:marLeft w:val="0"/>
      <w:marRight w:val="0"/>
      <w:marTop w:val="0"/>
      <w:marBottom w:val="0"/>
      <w:divBdr>
        <w:top w:val="none" w:sz="0" w:space="0" w:color="auto"/>
        <w:left w:val="none" w:sz="0" w:space="0" w:color="auto"/>
        <w:bottom w:val="none" w:sz="0" w:space="0" w:color="auto"/>
        <w:right w:val="none" w:sz="0" w:space="0" w:color="auto"/>
      </w:divBdr>
      <w:divsChild>
        <w:div w:id="996569485">
          <w:marLeft w:val="0"/>
          <w:marRight w:val="0"/>
          <w:marTop w:val="332"/>
          <w:marBottom w:val="332"/>
          <w:divBdr>
            <w:top w:val="none" w:sz="0" w:space="0" w:color="auto"/>
            <w:left w:val="none" w:sz="0" w:space="0" w:color="auto"/>
            <w:bottom w:val="none" w:sz="0" w:space="0" w:color="auto"/>
            <w:right w:val="none" w:sz="0" w:space="0" w:color="auto"/>
          </w:divBdr>
          <w:divsChild>
            <w:div w:id="763233351">
              <w:marLeft w:val="0"/>
              <w:marRight w:val="0"/>
              <w:marTop w:val="0"/>
              <w:marBottom w:val="0"/>
              <w:divBdr>
                <w:top w:val="none" w:sz="0" w:space="0" w:color="auto"/>
                <w:left w:val="none" w:sz="0" w:space="0" w:color="auto"/>
                <w:bottom w:val="none" w:sz="0" w:space="0" w:color="auto"/>
                <w:right w:val="none" w:sz="0" w:space="0" w:color="auto"/>
              </w:divBdr>
            </w:div>
            <w:div w:id="7978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632">
      <w:bodyDiv w:val="1"/>
      <w:marLeft w:val="0"/>
      <w:marRight w:val="0"/>
      <w:marTop w:val="0"/>
      <w:marBottom w:val="0"/>
      <w:divBdr>
        <w:top w:val="none" w:sz="0" w:space="0" w:color="auto"/>
        <w:left w:val="none" w:sz="0" w:space="0" w:color="auto"/>
        <w:bottom w:val="none" w:sz="0" w:space="0" w:color="auto"/>
        <w:right w:val="none" w:sz="0" w:space="0" w:color="auto"/>
      </w:divBdr>
      <w:divsChild>
        <w:div w:id="376515049">
          <w:marLeft w:val="0"/>
          <w:marRight w:val="0"/>
          <w:marTop w:val="0"/>
          <w:marBottom w:val="166"/>
          <w:divBdr>
            <w:top w:val="none" w:sz="0" w:space="0" w:color="auto"/>
            <w:left w:val="none" w:sz="0" w:space="0" w:color="auto"/>
            <w:bottom w:val="none" w:sz="0" w:space="0" w:color="auto"/>
            <w:right w:val="none" w:sz="0" w:space="0" w:color="auto"/>
          </w:divBdr>
          <w:divsChild>
            <w:div w:id="2046101030">
              <w:marLeft w:val="0"/>
              <w:marRight w:val="0"/>
              <w:marTop w:val="166"/>
              <w:marBottom w:val="166"/>
              <w:divBdr>
                <w:top w:val="none" w:sz="0" w:space="0" w:color="auto"/>
                <w:left w:val="none" w:sz="0" w:space="0" w:color="auto"/>
                <w:bottom w:val="none" w:sz="0" w:space="0" w:color="auto"/>
                <w:right w:val="none" w:sz="0" w:space="0" w:color="auto"/>
              </w:divBdr>
              <w:divsChild>
                <w:div w:id="238910836">
                  <w:marLeft w:val="0"/>
                  <w:marRight w:val="0"/>
                  <w:marTop w:val="0"/>
                  <w:marBottom w:val="0"/>
                  <w:divBdr>
                    <w:top w:val="none" w:sz="0" w:space="0" w:color="auto"/>
                    <w:left w:val="none" w:sz="0" w:space="0" w:color="auto"/>
                    <w:bottom w:val="none" w:sz="0" w:space="0" w:color="auto"/>
                    <w:right w:val="none" w:sz="0" w:space="0" w:color="auto"/>
                  </w:divBdr>
                </w:div>
              </w:divsChild>
            </w:div>
            <w:div w:id="129594807">
              <w:marLeft w:val="0"/>
              <w:marRight w:val="0"/>
              <w:marTop w:val="166"/>
              <w:marBottom w:val="166"/>
              <w:divBdr>
                <w:top w:val="none" w:sz="0" w:space="0" w:color="auto"/>
                <w:left w:val="none" w:sz="0" w:space="0" w:color="auto"/>
                <w:bottom w:val="none" w:sz="0" w:space="0" w:color="auto"/>
                <w:right w:val="none" w:sz="0" w:space="0" w:color="auto"/>
              </w:divBdr>
              <w:divsChild>
                <w:div w:id="1731802616">
                  <w:marLeft w:val="0"/>
                  <w:marRight w:val="0"/>
                  <w:marTop w:val="0"/>
                  <w:marBottom w:val="0"/>
                  <w:divBdr>
                    <w:top w:val="none" w:sz="0" w:space="0" w:color="auto"/>
                    <w:left w:val="none" w:sz="0" w:space="0" w:color="auto"/>
                    <w:bottom w:val="none" w:sz="0" w:space="0" w:color="auto"/>
                    <w:right w:val="none" w:sz="0" w:space="0" w:color="auto"/>
                  </w:divBdr>
                </w:div>
              </w:divsChild>
            </w:div>
            <w:div w:id="1902328930">
              <w:marLeft w:val="0"/>
              <w:marRight w:val="0"/>
              <w:marTop w:val="332"/>
              <w:marBottom w:val="332"/>
              <w:divBdr>
                <w:top w:val="single" w:sz="6" w:space="5" w:color="EAC3AF"/>
                <w:left w:val="single" w:sz="6" w:space="8" w:color="EAC3AF"/>
                <w:bottom w:val="single" w:sz="6" w:space="5" w:color="EAC3AF"/>
                <w:right w:val="single" w:sz="6" w:space="8" w:color="EAC3AF"/>
              </w:divBdr>
              <w:divsChild>
                <w:div w:id="1254124631">
                  <w:marLeft w:val="0"/>
                  <w:marRight w:val="0"/>
                  <w:marTop w:val="0"/>
                  <w:marBottom w:val="0"/>
                  <w:divBdr>
                    <w:top w:val="none" w:sz="0" w:space="0" w:color="auto"/>
                    <w:left w:val="none" w:sz="0" w:space="0" w:color="auto"/>
                    <w:bottom w:val="none" w:sz="0" w:space="0" w:color="auto"/>
                    <w:right w:val="none" w:sz="0" w:space="0" w:color="auto"/>
                  </w:divBdr>
                  <w:divsChild>
                    <w:div w:id="3364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9171">
          <w:marLeft w:val="0"/>
          <w:marRight w:val="0"/>
          <w:marTop w:val="0"/>
          <w:marBottom w:val="0"/>
          <w:divBdr>
            <w:top w:val="none" w:sz="0" w:space="0" w:color="auto"/>
            <w:left w:val="none" w:sz="0" w:space="0" w:color="auto"/>
            <w:bottom w:val="none" w:sz="0" w:space="0" w:color="auto"/>
            <w:right w:val="none" w:sz="0" w:space="0" w:color="auto"/>
          </w:divBdr>
          <w:divsChild>
            <w:div w:id="1980183834">
              <w:marLeft w:val="0"/>
              <w:marRight w:val="0"/>
              <w:marTop w:val="0"/>
              <w:marBottom w:val="0"/>
              <w:divBdr>
                <w:top w:val="none" w:sz="0" w:space="0" w:color="auto"/>
                <w:left w:val="none" w:sz="0" w:space="0" w:color="auto"/>
                <w:bottom w:val="none" w:sz="0" w:space="0" w:color="auto"/>
                <w:right w:val="none" w:sz="0" w:space="0" w:color="auto"/>
              </w:divBdr>
            </w:div>
            <w:div w:id="1171529869">
              <w:marLeft w:val="0"/>
              <w:marRight w:val="0"/>
              <w:marTop w:val="0"/>
              <w:marBottom w:val="0"/>
              <w:divBdr>
                <w:top w:val="none" w:sz="0" w:space="0" w:color="auto"/>
                <w:left w:val="none" w:sz="0" w:space="0" w:color="auto"/>
                <w:bottom w:val="none" w:sz="0" w:space="0" w:color="auto"/>
                <w:right w:val="none" w:sz="0" w:space="0" w:color="auto"/>
              </w:divBdr>
            </w:div>
          </w:divsChild>
        </w:div>
        <w:div w:id="816915316">
          <w:marLeft w:val="0"/>
          <w:marRight w:val="0"/>
          <w:marTop w:val="0"/>
          <w:marBottom w:val="0"/>
          <w:divBdr>
            <w:top w:val="none" w:sz="0" w:space="0" w:color="auto"/>
            <w:left w:val="none" w:sz="0" w:space="0" w:color="auto"/>
            <w:bottom w:val="none" w:sz="0" w:space="0" w:color="auto"/>
            <w:right w:val="none" w:sz="0" w:space="0" w:color="auto"/>
          </w:divBdr>
        </w:div>
        <w:div w:id="887762800">
          <w:marLeft w:val="0"/>
          <w:marRight w:val="0"/>
          <w:marTop w:val="0"/>
          <w:marBottom w:val="0"/>
          <w:divBdr>
            <w:top w:val="none" w:sz="0" w:space="0" w:color="auto"/>
            <w:left w:val="none" w:sz="0" w:space="0" w:color="auto"/>
            <w:bottom w:val="none" w:sz="0" w:space="0" w:color="auto"/>
            <w:right w:val="none" w:sz="0" w:space="0" w:color="auto"/>
          </w:divBdr>
        </w:div>
        <w:div w:id="1639451093">
          <w:marLeft w:val="0"/>
          <w:marRight w:val="0"/>
          <w:marTop w:val="0"/>
          <w:marBottom w:val="0"/>
          <w:divBdr>
            <w:top w:val="none" w:sz="0" w:space="0" w:color="auto"/>
            <w:left w:val="none" w:sz="0" w:space="0" w:color="auto"/>
            <w:bottom w:val="none" w:sz="0" w:space="0" w:color="auto"/>
            <w:right w:val="none" w:sz="0" w:space="0" w:color="auto"/>
          </w:divBdr>
          <w:divsChild>
            <w:div w:id="1371222799">
              <w:marLeft w:val="0"/>
              <w:marRight w:val="0"/>
              <w:marTop w:val="332"/>
              <w:marBottom w:val="332"/>
              <w:divBdr>
                <w:top w:val="none" w:sz="0" w:space="0" w:color="auto"/>
                <w:left w:val="none" w:sz="0" w:space="0" w:color="auto"/>
                <w:bottom w:val="none" w:sz="0" w:space="0" w:color="auto"/>
                <w:right w:val="none" w:sz="0" w:space="0" w:color="auto"/>
              </w:divBdr>
              <w:divsChild>
                <w:div w:id="1731072377">
                  <w:marLeft w:val="0"/>
                  <w:marRight w:val="0"/>
                  <w:marTop w:val="0"/>
                  <w:marBottom w:val="0"/>
                  <w:divBdr>
                    <w:top w:val="none" w:sz="0" w:space="0" w:color="auto"/>
                    <w:left w:val="none" w:sz="0" w:space="0" w:color="auto"/>
                    <w:bottom w:val="none" w:sz="0" w:space="0" w:color="auto"/>
                    <w:right w:val="none" w:sz="0" w:space="0" w:color="auto"/>
                  </w:divBdr>
                  <w:divsChild>
                    <w:div w:id="2002931468">
                      <w:marLeft w:val="0"/>
                      <w:marRight w:val="0"/>
                      <w:marTop w:val="0"/>
                      <w:marBottom w:val="0"/>
                      <w:divBdr>
                        <w:top w:val="none" w:sz="0" w:space="0" w:color="auto"/>
                        <w:left w:val="none" w:sz="0" w:space="0" w:color="auto"/>
                        <w:bottom w:val="none" w:sz="0" w:space="0" w:color="auto"/>
                        <w:right w:val="none" w:sz="0" w:space="0" w:color="auto"/>
                      </w:divBdr>
                    </w:div>
                    <w:div w:id="6982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3287">
          <w:marLeft w:val="0"/>
          <w:marRight w:val="0"/>
          <w:marTop w:val="0"/>
          <w:marBottom w:val="0"/>
          <w:divBdr>
            <w:top w:val="none" w:sz="0" w:space="0" w:color="auto"/>
            <w:left w:val="none" w:sz="0" w:space="0" w:color="auto"/>
            <w:bottom w:val="none" w:sz="0" w:space="0" w:color="auto"/>
            <w:right w:val="none" w:sz="0" w:space="0" w:color="auto"/>
          </w:divBdr>
          <w:divsChild>
            <w:div w:id="1787500955">
              <w:marLeft w:val="0"/>
              <w:marRight w:val="0"/>
              <w:marTop w:val="332"/>
              <w:marBottom w:val="332"/>
              <w:divBdr>
                <w:top w:val="none" w:sz="0" w:space="0" w:color="auto"/>
                <w:left w:val="none" w:sz="0" w:space="0" w:color="auto"/>
                <w:bottom w:val="none" w:sz="0" w:space="0" w:color="auto"/>
                <w:right w:val="none" w:sz="0" w:space="0" w:color="auto"/>
              </w:divBdr>
              <w:divsChild>
                <w:div w:id="104278425">
                  <w:marLeft w:val="0"/>
                  <w:marRight w:val="0"/>
                  <w:marTop w:val="0"/>
                  <w:marBottom w:val="0"/>
                  <w:divBdr>
                    <w:top w:val="none" w:sz="0" w:space="0" w:color="auto"/>
                    <w:left w:val="none" w:sz="0" w:space="0" w:color="auto"/>
                    <w:bottom w:val="none" w:sz="0" w:space="0" w:color="auto"/>
                    <w:right w:val="none" w:sz="0" w:space="0" w:color="auto"/>
                  </w:divBdr>
                  <w:divsChild>
                    <w:div w:id="824786510">
                      <w:marLeft w:val="0"/>
                      <w:marRight w:val="0"/>
                      <w:marTop w:val="0"/>
                      <w:marBottom w:val="0"/>
                      <w:divBdr>
                        <w:top w:val="none" w:sz="0" w:space="0" w:color="auto"/>
                        <w:left w:val="none" w:sz="0" w:space="0" w:color="auto"/>
                        <w:bottom w:val="none" w:sz="0" w:space="0" w:color="auto"/>
                        <w:right w:val="none" w:sz="0" w:space="0" w:color="auto"/>
                      </w:divBdr>
                    </w:div>
                    <w:div w:id="15009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8423">
          <w:marLeft w:val="0"/>
          <w:marRight w:val="0"/>
          <w:marTop w:val="0"/>
          <w:marBottom w:val="0"/>
          <w:divBdr>
            <w:top w:val="none" w:sz="0" w:space="0" w:color="auto"/>
            <w:left w:val="none" w:sz="0" w:space="0" w:color="auto"/>
            <w:bottom w:val="none" w:sz="0" w:space="0" w:color="auto"/>
            <w:right w:val="none" w:sz="0" w:space="0" w:color="auto"/>
          </w:divBdr>
          <w:divsChild>
            <w:div w:id="620455466">
              <w:marLeft w:val="0"/>
              <w:marRight w:val="0"/>
              <w:marTop w:val="332"/>
              <w:marBottom w:val="332"/>
              <w:divBdr>
                <w:top w:val="none" w:sz="0" w:space="0" w:color="auto"/>
                <w:left w:val="none" w:sz="0" w:space="0" w:color="auto"/>
                <w:bottom w:val="none" w:sz="0" w:space="0" w:color="auto"/>
                <w:right w:val="none" w:sz="0" w:space="0" w:color="auto"/>
              </w:divBdr>
              <w:divsChild>
                <w:div w:id="310602650">
                  <w:marLeft w:val="0"/>
                  <w:marRight w:val="0"/>
                  <w:marTop w:val="0"/>
                  <w:marBottom w:val="0"/>
                  <w:divBdr>
                    <w:top w:val="none" w:sz="0" w:space="0" w:color="auto"/>
                    <w:left w:val="none" w:sz="0" w:space="0" w:color="auto"/>
                    <w:bottom w:val="none" w:sz="0" w:space="0" w:color="auto"/>
                    <w:right w:val="none" w:sz="0" w:space="0" w:color="auto"/>
                  </w:divBdr>
                  <w:divsChild>
                    <w:div w:id="1625427753">
                      <w:marLeft w:val="0"/>
                      <w:marRight w:val="0"/>
                      <w:marTop w:val="0"/>
                      <w:marBottom w:val="0"/>
                      <w:divBdr>
                        <w:top w:val="none" w:sz="0" w:space="0" w:color="auto"/>
                        <w:left w:val="none" w:sz="0" w:space="0" w:color="auto"/>
                        <w:bottom w:val="none" w:sz="0" w:space="0" w:color="auto"/>
                        <w:right w:val="none" w:sz="0" w:space="0" w:color="auto"/>
                      </w:divBdr>
                    </w:div>
                    <w:div w:id="6646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822">
              <w:marLeft w:val="0"/>
              <w:marRight w:val="0"/>
              <w:marTop w:val="0"/>
              <w:marBottom w:val="0"/>
              <w:divBdr>
                <w:top w:val="none" w:sz="0" w:space="0" w:color="auto"/>
                <w:left w:val="none" w:sz="0" w:space="0" w:color="auto"/>
                <w:bottom w:val="none" w:sz="0" w:space="0" w:color="auto"/>
                <w:right w:val="none" w:sz="0" w:space="0" w:color="auto"/>
              </w:divBdr>
            </w:div>
            <w:div w:id="1164977008">
              <w:marLeft w:val="0"/>
              <w:marRight w:val="0"/>
              <w:marTop w:val="0"/>
              <w:marBottom w:val="0"/>
              <w:divBdr>
                <w:top w:val="none" w:sz="0" w:space="0" w:color="auto"/>
                <w:left w:val="none" w:sz="0" w:space="0" w:color="auto"/>
                <w:bottom w:val="none" w:sz="0" w:space="0" w:color="auto"/>
                <w:right w:val="none" w:sz="0" w:space="0" w:color="auto"/>
              </w:divBdr>
            </w:div>
            <w:div w:id="471673053">
              <w:marLeft w:val="0"/>
              <w:marRight w:val="0"/>
              <w:marTop w:val="0"/>
              <w:marBottom w:val="0"/>
              <w:divBdr>
                <w:top w:val="none" w:sz="0" w:space="0" w:color="auto"/>
                <w:left w:val="none" w:sz="0" w:space="0" w:color="auto"/>
                <w:bottom w:val="none" w:sz="0" w:space="0" w:color="auto"/>
                <w:right w:val="none" w:sz="0" w:space="0" w:color="auto"/>
              </w:divBdr>
            </w:div>
            <w:div w:id="1269964788">
              <w:marLeft w:val="0"/>
              <w:marRight w:val="0"/>
              <w:marTop w:val="0"/>
              <w:marBottom w:val="0"/>
              <w:divBdr>
                <w:top w:val="none" w:sz="0" w:space="0" w:color="auto"/>
                <w:left w:val="none" w:sz="0" w:space="0" w:color="auto"/>
                <w:bottom w:val="none" w:sz="0" w:space="0" w:color="auto"/>
                <w:right w:val="none" w:sz="0" w:space="0" w:color="auto"/>
              </w:divBdr>
            </w:div>
          </w:divsChild>
        </w:div>
        <w:div w:id="972054685">
          <w:marLeft w:val="0"/>
          <w:marRight w:val="0"/>
          <w:marTop w:val="0"/>
          <w:marBottom w:val="0"/>
          <w:divBdr>
            <w:top w:val="none" w:sz="0" w:space="0" w:color="auto"/>
            <w:left w:val="none" w:sz="0" w:space="0" w:color="auto"/>
            <w:bottom w:val="none" w:sz="0" w:space="0" w:color="auto"/>
            <w:right w:val="none" w:sz="0" w:space="0" w:color="auto"/>
          </w:divBdr>
        </w:div>
        <w:div w:id="150828555">
          <w:marLeft w:val="0"/>
          <w:marRight w:val="0"/>
          <w:marTop w:val="0"/>
          <w:marBottom w:val="0"/>
          <w:divBdr>
            <w:top w:val="none" w:sz="0" w:space="0" w:color="auto"/>
            <w:left w:val="none" w:sz="0" w:space="0" w:color="auto"/>
            <w:bottom w:val="none" w:sz="0" w:space="0" w:color="auto"/>
            <w:right w:val="none" w:sz="0" w:space="0" w:color="auto"/>
          </w:divBdr>
        </w:div>
        <w:div w:id="1930044606">
          <w:marLeft w:val="0"/>
          <w:marRight w:val="0"/>
          <w:marTop w:val="0"/>
          <w:marBottom w:val="0"/>
          <w:divBdr>
            <w:top w:val="none" w:sz="0" w:space="0" w:color="auto"/>
            <w:left w:val="none" w:sz="0" w:space="0" w:color="auto"/>
            <w:bottom w:val="none" w:sz="0" w:space="0" w:color="auto"/>
            <w:right w:val="none" w:sz="0" w:space="0" w:color="auto"/>
          </w:divBdr>
          <w:divsChild>
            <w:div w:id="518005498">
              <w:marLeft w:val="0"/>
              <w:marRight w:val="0"/>
              <w:marTop w:val="166"/>
              <w:marBottom w:val="166"/>
              <w:divBdr>
                <w:top w:val="none" w:sz="0" w:space="0" w:color="auto"/>
                <w:left w:val="none" w:sz="0" w:space="0" w:color="auto"/>
                <w:bottom w:val="none" w:sz="0" w:space="0" w:color="auto"/>
                <w:right w:val="none" w:sz="0" w:space="0" w:color="auto"/>
              </w:divBdr>
            </w:div>
          </w:divsChild>
        </w:div>
        <w:div w:id="363095038">
          <w:marLeft w:val="0"/>
          <w:marRight w:val="0"/>
          <w:marTop w:val="0"/>
          <w:marBottom w:val="0"/>
          <w:divBdr>
            <w:top w:val="none" w:sz="0" w:space="0" w:color="auto"/>
            <w:left w:val="none" w:sz="0" w:space="0" w:color="auto"/>
            <w:bottom w:val="none" w:sz="0" w:space="0" w:color="auto"/>
            <w:right w:val="none" w:sz="0" w:space="0" w:color="auto"/>
          </w:divBdr>
        </w:div>
        <w:div w:id="786659032">
          <w:marLeft w:val="0"/>
          <w:marRight w:val="0"/>
          <w:marTop w:val="0"/>
          <w:marBottom w:val="0"/>
          <w:divBdr>
            <w:top w:val="none" w:sz="0" w:space="0" w:color="auto"/>
            <w:left w:val="none" w:sz="0" w:space="0" w:color="auto"/>
            <w:bottom w:val="none" w:sz="0" w:space="0" w:color="auto"/>
            <w:right w:val="none" w:sz="0" w:space="0" w:color="auto"/>
          </w:divBdr>
          <w:divsChild>
            <w:div w:id="16782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4125318/" TargetMode="External"/><Relationship Id="rId117" Type="http://schemas.openxmlformats.org/officeDocument/2006/relationships/hyperlink" Target="https://www.ncbi.nlm.nih.gov/pubmed/18194967" TargetMode="External"/><Relationship Id="rId21" Type="http://schemas.openxmlformats.org/officeDocument/2006/relationships/hyperlink" Target="https://www.ncbi.nlm.nih.gov/pmc/articles/PMC4125318/" TargetMode="External"/><Relationship Id="rId42" Type="http://schemas.openxmlformats.org/officeDocument/2006/relationships/hyperlink" Target="https://www.ncbi.nlm.nih.gov/pmc/articles/PMC4125318/" TargetMode="External"/><Relationship Id="rId47" Type="http://schemas.openxmlformats.org/officeDocument/2006/relationships/hyperlink" Target="https://www.ncbi.nlm.nih.gov/pmc/articles/PMC4125318/table/table2-2042098613486829/" TargetMode="External"/><Relationship Id="rId63" Type="http://schemas.openxmlformats.org/officeDocument/2006/relationships/hyperlink" Target="https://www.ncbi.nlm.nih.gov/pmc/articles/PMC4125318/" TargetMode="External"/><Relationship Id="rId68" Type="http://schemas.openxmlformats.org/officeDocument/2006/relationships/hyperlink" Target="https://www.ncbi.nlm.nih.gov/pubmed/11422022" TargetMode="External"/><Relationship Id="rId84" Type="http://schemas.openxmlformats.org/officeDocument/2006/relationships/hyperlink" Target="https://www.ncbi.nlm.nih.gov/pubmed/9871433" TargetMode="External"/><Relationship Id="rId89" Type="http://schemas.openxmlformats.org/officeDocument/2006/relationships/hyperlink" Target="https://www.ncbi.nlm.nih.gov/pubmed/21103046" TargetMode="External"/><Relationship Id="rId112" Type="http://schemas.openxmlformats.org/officeDocument/2006/relationships/hyperlink" Target="https://www.ncbi.nlm.nih.gov/pubmed/8707452" TargetMode="External"/><Relationship Id="rId133" Type="http://schemas.openxmlformats.org/officeDocument/2006/relationships/hyperlink" Target="https://www.ncbi.nlm.nih.gov/pubmed/19129307" TargetMode="External"/><Relationship Id="rId16" Type="http://schemas.openxmlformats.org/officeDocument/2006/relationships/hyperlink" Target="https://www.ncbi.nlm.nih.gov/pmc/articles/PMC4125318/" TargetMode="External"/><Relationship Id="rId107" Type="http://schemas.openxmlformats.org/officeDocument/2006/relationships/hyperlink" Target="https://www.ncbi.nlm.nih.gov/pubmed/19221130" TargetMode="External"/><Relationship Id="rId11" Type="http://schemas.openxmlformats.org/officeDocument/2006/relationships/hyperlink" Target="https://www.ncbi.nlm.nih.gov/pmc/articles/PMC4125318/" TargetMode="External"/><Relationship Id="rId32" Type="http://schemas.openxmlformats.org/officeDocument/2006/relationships/hyperlink" Target="https://www.ncbi.nlm.nih.gov/pmc/articles/PMC4125318/" TargetMode="External"/><Relationship Id="rId37" Type="http://schemas.openxmlformats.org/officeDocument/2006/relationships/hyperlink" Target="https://www.ncbi.nlm.nih.gov/pmc/articles/PMC4125318/" TargetMode="External"/><Relationship Id="rId53" Type="http://schemas.openxmlformats.org/officeDocument/2006/relationships/hyperlink" Target="https://www.ncbi.nlm.nih.gov/pmc/articles/PMC4125318/" TargetMode="External"/><Relationship Id="rId58" Type="http://schemas.openxmlformats.org/officeDocument/2006/relationships/hyperlink" Target="https://www.ncbi.nlm.nih.gov/pmc/articles/PMC4125318/" TargetMode="External"/><Relationship Id="rId74" Type="http://schemas.openxmlformats.org/officeDocument/2006/relationships/hyperlink" Target="https://www.ncbi.nlm.nih.gov/pubmed/10404930" TargetMode="External"/><Relationship Id="rId79" Type="http://schemas.openxmlformats.org/officeDocument/2006/relationships/hyperlink" Target="https://www.ncbi.nlm.nih.gov/pubmed/11686957" TargetMode="External"/><Relationship Id="rId102" Type="http://schemas.openxmlformats.org/officeDocument/2006/relationships/hyperlink" Target="https://www.ncbi.nlm.nih.gov/pubmed/9920227" TargetMode="External"/><Relationship Id="rId123" Type="http://schemas.openxmlformats.org/officeDocument/2006/relationships/hyperlink" Target="https://www.ncbi.nlm.nih.gov/pubmed/18416875" TargetMode="External"/><Relationship Id="rId128" Type="http://schemas.openxmlformats.org/officeDocument/2006/relationships/hyperlink" Target="https://www.ncbi.nlm.nih.gov/pubmed/16454543" TargetMode="External"/><Relationship Id="rId5" Type="http://schemas.openxmlformats.org/officeDocument/2006/relationships/hyperlink" Target="https://www.ncbi.nlm.nih.gov/pubmed/?term=de%20Jong%20MR%5BAuthor%5D&amp;cauthor=true&amp;cauthor_uid=25114778" TargetMode="External"/><Relationship Id="rId90" Type="http://schemas.openxmlformats.org/officeDocument/2006/relationships/hyperlink" Target="https://www.ncbi.nlm.nih.gov/pubmed/20498419" TargetMode="External"/><Relationship Id="rId95" Type="http://schemas.openxmlformats.org/officeDocument/2006/relationships/hyperlink" Target="https://www.ncbi.nlm.nih.gov/pubmed/19924496" TargetMode="External"/><Relationship Id="rId14" Type="http://schemas.openxmlformats.org/officeDocument/2006/relationships/hyperlink" Target="https://www.ncbi.nlm.nih.gov/pmc/articles/PMC4125318/" TargetMode="External"/><Relationship Id="rId22" Type="http://schemas.openxmlformats.org/officeDocument/2006/relationships/hyperlink" Target="https://www.ncbi.nlm.nih.gov/pmc/articles/PMC4125318/" TargetMode="External"/><Relationship Id="rId27" Type="http://schemas.openxmlformats.org/officeDocument/2006/relationships/hyperlink" Target="https://www.ncbi.nlm.nih.gov/pmc/articles/PMC4125318/" TargetMode="External"/><Relationship Id="rId30" Type="http://schemas.openxmlformats.org/officeDocument/2006/relationships/hyperlink" Target="https://www.ncbi.nlm.nih.gov/pmc/articles/PMC4125318/" TargetMode="External"/><Relationship Id="rId35" Type="http://schemas.openxmlformats.org/officeDocument/2006/relationships/hyperlink" Target="https://www.ncbi.nlm.nih.gov/pmc/articles/PMC4125318/table/table3-2042098613486829/" TargetMode="External"/><Relationship Id="rId43" Type="http://schemas.openxmlformats.org/officeDocument/2006/relationships/hyperlink" Target="https://www.ncbi.nlm.nih.gov/pmc/articles/PMC4125318/" TargetMode="External"/><Relationship Id="rId48" Type="http://schemas.openxmlformats.org/officeDocument/2006/relationships/hyperlink" Target="https://www.ncbi.nlm.nih.gov/pmc/articles/PMC4125318/" TargetMode="External"/><Relationship Id="rId56" Type="http://schemas.openxmlformats.org/officeDocument/2006/relationships/hyperlink" Target="https://www.ncbi.nlm.nih.gov/pmc/articles/PMC4125318/" TargetMode="External"/><Relationship Id="rId64" Type="http://schemas.openxmlformats.org/officeDocument/2006/relationships/hyperlink" Target="https://www.ncbi.nlm.nih.gov/pmc/articles/PMC4125318/" TargetMode="External"/><Relationship Id="rId69" Type="http://schemas.openxmlformats.org/officeDocument/2006/relationships/hyperlink" Target="https://www.ncbi.nlm.nih.gov/pubmed/12061133" TargetMode="External"/><Relationship Id="rId77" Type="http://schemas.openxmlformats.org/officeDocument/2006/relationships/hyperlink" Target="https://www.ncbi.nlm.nih.gov/pubmed/20625015" TargetMode="External"/><Relationship Id="rId100" Type="http://schemas.openxmlformats.org/officeDocument/2006/relationships/hyperlink" Target="https://www.ncbi.nlm.nih.gov/pubmed/13130212" TargetMode="External"/><Relationship Id="rId105" Type="http://schemas.openxmlformats.org/officeDocument/2006/relationships/hyperlink" Target="https://www.ncbi.nlm.nih.gov/pubmed/9066479" TargetMode="External"/><Relationship Id="rId113" Type="http://schemas.openxmlformats.org/officeDocument/2006/relationships/hyperlink" Target="https://www.ncbi.nlm.nih.gov/pmc/articles/PMC30096/" TargetMode="External"/><Relationship Id="rId118" Type="http://schemas.openxmlformats.org/officeDocument/2006/relationships/hyperlink" Target="https://www.ncbi.nlm.nih.gov/pmc/articles/PMC1732578/" TargetMode="External"/><Relationship Id="rId126" Type="http://schemas.openxmlformats.org/officeDocument/2006/relationships/hyperlink" Target="https://www.ncbi.nlm.nih.gov/pubmed/9744971" TargetMode="External"/><Relationship Id="rId134" Type="http://schemas.openxmlformats.org/officeDocument/2006/relationships/hyperlink" Target="https://www.ncbi.nlm.nih.gov/pmc/articles/PMC1885000/" TargetMode="External"/><Relationship Id="rId8" Type="http://schemas.openxmlformats.org/officeDocument/2006/relationships/hyperlink" Target="https://www.ncbi.nlm.nih.gov/pmc/articles/PMC4125318/" TargetMode="External"/><Relationship Id="rId51" Type="http://schemas.openxmlformats.org/officeDocument/2006/relationships/hyperlink" Target="https://www.ncbi.nlm.nih.gov/pmc/articles/PMC4125318/" TargetMode="External"/><Relationship Id="rId72" Type="http://schemas.openxmlformats.org/officeDocument/2006/relationships/hyperlink" Target="https://www.ncbi.nlm.nih.gov/pubmed/20091578" TargetMode="External"/><Relationship Id="rId80" Type="http://schemas.openxmlformats.org/officeDocument/2006/relationships/hyperlink" Target="https://www.ncbi.nlm.nih.gov/pubmed/8633602" TargetMode="External"/><Relationship Id="rId85" Type="http://schemas.openxmlformats.org/officeDocument/2006/relationships/hyperlink" Target="https://www.ncbi.nlm.nih.gov/pubmed/22541759" TargetMode="External"/><Relationship Id="rId93" Type="http://schemas.openxmlformats.org/officeDocument/2006/relationships/hyperlink" Target="https://www.ncbi.nlm.nih.gov/pubmed/17921433" TargetMode="External"/><Relationship Id="rId98" Type="http://schemas.openxmlformats.org/officeDocument/2006/relationships/hyperlink" Target="https://www.ncbi.nlm.nih.gov/pubmed/10349892" TargetMode="External"/><Relationship Id="rId121" Type="http://schemas.openxmlformats.org/officeDocument/2006/relationships/hyperlink" Target="https://www.ncbi.nlm.nih.gov/pubmed/14695865" TargetMode="External"/><Relationship Id="rId3" Type="http://schemas.openxmlformats.org/officeDocument/2006/relationships/settings" Target="settings.xml"/><Relationship Id="rId12" Type="http://schemas.openxmlformats.org/officeDocument/2006/relationships/hyperlink" Target="https://www.ncbi.nlm.nih.gov/pmc/articles/PMC4125318/" TargetMode="External"/><Relationship Id="rId17" Type="http://schemas.openxmlformats.org/officeDocument/2006/relationships/hyperlink" Target="https://www.ncbi.nlm.nih.gov/pmc/articles/PMC4125318/" TargetMode="External"/><Relationship Id="rId25" Type="http://schemas.openxmlformats.org/officeDocument/2006/relationships/hyperlink" Target="https://www.ncbi.nlm.nih.gov/pmc/articles/PMC4125318/" TargetMode="External"/><Relationship Id="rId33" Type="http://schemas.openxmlformats.org/officeDocument/2006/relationships/image" Target="media/image2.png"/><Relationship Id="rId38" Type="http://schemas.openxmlformats.org/officeDocument/2006/relationships/hyperlink" Target="https://www.ncbi.nlm.nih.gov/pmc/articles/PMC4125318/" TargetMode="External"/><Relationship Id="rId46" Type="http://schemas.openxmlformats.org/officeDocument/2006/relationships/hyperlink" Target="https://www.ncbi.nlm.nih.gov/pmc/articles/PMC4125318/table/table2-2042098613486829/" TargetMode="External"/><Relationship Id="rId59" Type="http://schemas.openxmlformats.org/officeDocument/2006/relationships/hyperlink" Target="https://www.ncbi.nlm.nih.gov/pmc/articles/PMC4125318/" TargetMode="External"/><Relationship Id="rId67" Type="http://schemas.openxmlformats.org/officeDocument/2006/relationships/hyperlink" Target="https://www.ncbi.nlm.nih.gov/pmc/articles/PMC2014493/" TargetMode="External"/><Relationship Id="rId103" Type="http://schemas.openxmlformats.org/officeDocument/2006/relationships/hyperlink" Target="https://www.ncbi.nlm.nih.gov/pubmed/9920228" TargetMode="External"/><Relationship Id="rId108" Type="http://schemas.openxmlformats.org/officeDocument/2006/relationships/hyperlink" Target="https://www.ncbi.nlm.nih.gov/pubmed/16301185" TargetMode="External"/><Relationship Id="rId116" Type="http://schemas.openxmlformats.org/officeDocument/2006/relationships/hyperlink" Target="https://www.ncbi.nlm.nih.gov/pubmed/8053619" TargetMode="External"/><Relationship Id="rId124" Type="http://schemas.openxmlformats.org/officeDocument/2006/relationships/hyperlink" Target="https://www.ncbi.nlm.nih.gov/pmc/articles/PMC2563445/" TargetMode="External"/><Relationship Id="rId129" Type="http://schemas.openxmlformats.org/officeDocument/2006/relationships/hyperlink" Target="https://www.ncbi.nlm.nih.gov/pmc/articles/PMC2000574/" TargetMode="External"/><Relationship Id="rId137" Type="http://schemas.openxmlformats.org/officeDocument/2006/relationships/theme" Target="theme/theme1.xml"/><Relationship Id="rId20" Type="http://schemas.openxmlformats.org/officeDocument/2006/relationships/hyperlink" Target="https://www.ncbi.nlm.nih.gov/pmc/articles/PMC4125318/table/table1-2042098613486829/" TargetMode="External"/><Relationship Id="rId41" Type="http://schemas.openxmlformats.org/officeDocument/2006/relationships/hyperlink" Target="https://www.ncbi.nlm.nih.gov/pmc/articles/PMC4125318/" TargetMode="External"/><Relationship Id="rId54" Type="http://schemas.openxmlformats.org/officeDocument/2006/relationships/hyperlink" Target="https://www.ncbi.nlm.nih.gov/pmc/articles/PMC4125318/" TargetMode="External"/><Relationship Id="rId62" Type="http://schemas.openxmlformats.org/officeDocument/2006/relationships/hyperlink" Target="https://www.ncbi.nlm.nih.gov/pmc/articles/PMC4125318/" TargetMode="External"/><Relationship Id="rId70" Type="http://schemas.openxmlformats.org/officeDocument/2006/relationships/hyperlink" Target="https://www.ncbi.nlm.nih.gov/pubmed/10983906" TargetMode="External"/><Relationship Id="rId75" Type="http://schemas.openxmlformats.org/officeDocument/2006/relationships/hyperlink" Target="http://www.cdc.gov/injury/wisqars" TargetMode="External"/><Relationship Id="rId83" Type="http://schemas.openxmlformats.org/officeDocument/2006/relationships/hyperlink" Target="https://www.ncbi.nlm.nih.gov/pubmed/17592097" TargetMode="External"/><Relationship Id="rId88" Type="http://schemas.openxmlformats.org/officeDocument/2006/relationships/hyperlink" Target="https://www.ncbi.nlm.nih.gov/pmc/articles/PMC2980468/" TargetMode="External"/><Relationship Id="rId91" Type="http://schemas.openxmlformats.org/officeDocument/2006/relationships/hyperlink" Target="https://www.ncbi.nlm.nih.gov/pmc/articles/PMC3176146/" TargetMode="External"/><Relationship Id="rId96" Type="http://schemas.openxmlformats.org/officeDocument/2006/relationships/hyperlink" Target="https://www.ncbi.nlm.nih.gov/pubmed/19021301" TargetMode="External"/><Relationship Id="rId111" Type="http://schemas.openxmlformats.org/officeDocument/2006/relationships/hyperlink" Target="https://www.ncbi.nlm.nih.gov/pubmed/17894876" TargetMode="External"/><Relationship Id="rId132" Type="http://schemas.openxmlformats.org/officeDocument/2006/relationships/hyperlink" Target="https://www.ncbi.nlm.nih.gov/pmc/articles/PMC2615549/"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www.ncbi.nlm.nih.gov/pmc/articles/PMC4125318/" TargetMode="External"/><Relationship Id="rId23" Type="http://schemas.openxmlformats.org/officeDocument/2006/relationships/hyperlink" Target="https://www.ncbi.nlm.nih.gov/pmc/articles/PMC4125318/" TargetMode="External"/><Relationship Id="rId28" Type="http://schemas.openxmlformats.org/officeDocument/2006/relationships/hyperlink" Target="https://www.ncbi.nlm.nih.gov/pmc/articles/PMC4125318/" TargetMode="External"/><Relationship Id="rId36" Type="http://schemas.openxmlformats.org/officeDocument/2006/relationships/hyperlink" Target="https://www.ncbi.nlm.nih.gov/pmc/articles/PMC4125318/" TargetMode="External"/><Relationship Id="rId49" Type="http://schemas.openxmlformats.org/officeDocument/2006/relationships/hyperlink" Target="https://www.ncbi.nlm.nih.gov/pmc/articles/PMC4125318/" TargetMode="External"/><Relationship Id="rId57" Type="http://schemas.openxmlformats.org/officeDocument/2006/relationships/hyperlink" Target="https://www.ncbi.nlm.nih.gov/pmc/articles/PMC4125318/" TargetMode="External"/><Relationship Id="rId106" Type="http://schemas.openxmlformats.org/officeDocument/2006/relationships/hyperlink" Target="https://www.ncbi.nlm.nih.gov/pubmed/2709546" TargetMode="External"/><Relationship Id="rId114" Type="http://schemas.openxmlformats.org/officeDocument/2006/relationships/hyperlink" Target="https://www.ncbi.nlm.nih.gov/pubmed/11264208" TargetMode="External"/><Relationship Id="rId119" Type="http://schemas.openxmlformats.org/officeDocument/2006/relationships/hyperlink" Target="https://www.ncbi.nlm.nih.gov/pubmed/12933783" TargetMode="External"/><Relationship Id="rId127" Type="http://schemas.openxmlformats.org/officeDocument/2006/relationships/hyperlink" Target="https://www.ncbi.nlm.nih.gov/pubmed/12510042" TargetMode="External"/><Relationship Id="rId10" Type="http://schemas.openxmlformats.org/officeDocument/2006/relationships/hyperlink" Target="https://www.ncbi.nlm.nih.gov/pmc/articles/PMC4125318/" TargetMode="External"/><Relationship Id="rId31" Type="http://schemas.openxmlformats.org/officeDocument/2006/relationships/hyperlink" Target="https://www.ncbi.nlm.nih.gov/pmc/articles/PMC4125318/table/table3-2042098613486829/" TargetMode="External"/><Relationship Id="rId44" Type="http://schemas.openxmlformats.org/officeDocument/2006/relationships/hyperlink" Target="https://www.ncbi.nlm.nih.gov/pmc/articles/PMC4125318/" TargetMode="External"/><Relationship Id="rId52" Type="http://schemas.openxmlformats.org/officeDocument/2006/relationships/hyperlink" Target="https://www.ncbi.nlm.nih.gov/pmc/articles/PMC4125318/" TargetMode="External"/><Relationship Id="rId60" Type="http://schemas.openxmlformats.org/officeDocument/2006/relationships/hyperlink" Target="https://www.ncbi.nlm.nih.gov/pmc/articles/PMC4125318/" TargetMode="External"/><Relationship Id="rId65" Type="http://schemas.openxmlformats.org/officeDocument/2006/relationships/hyperlink" Target="https://www.ncbi.nlm.nih.gov/pmc/articles/PMC4125318/" TargetMode="External"/><Relationship Id="rId73" Type="http://schemas.openxmlformats.org/officeDocument/2006/relationships/hyperlink" Target="https://www.ncbi.nlm.nih.gov/pubmed/2337010" TargetMode="External"/><Relationship Id="rId78" Type="http://schemas.openxmlformats.org/officeDocument/2006/relationships/hyperlink" Target="https://www.ncbi.nlm.nih.gov/pubmed/15769968" TargetMode="External"/><Relationship Id="rId81" Type="http://schemas.openxmlformats.org/officeDocument/2006/relationships/hyperlink" Target="https://www.ncbi.nlm.nih.gov/pmc/articles/PMC4776743/" TargetMode="External"/><Relationship Id="rId86" Type="http://schemas.openxmlformats.org/officeDocument/2006/relationships/hyperlink" Target="https://www.ncbi.nlm.nih.gov/pubmed/21818033" TargetMode="External"/><Relationship Id="rId94" Type="http://schemas.openxmlformats.org/officeDocument/2006/relationships/hyperlink" Target="https://www.ncbi.nlm.nih.gov/pubmed/18088080" TargetMode="External"/><Relationship Id="rId99" Type="http://schemas.openxmlformats.org/officeDocument/2006/relationships/hyperlink" Target="https://www.ncbi.nlm.nih.gov/pubmed/15972615" TargetMode="External"/><Relationship Id="rId101" Type="http://schemas.openxmlformats.org/officeDocument/2006/relationships/hyperlink" Target="https://www.ncbi.nlm.nih.gov/pubmed/18809816" TargetMode="External"/><Relationship Id="rId122" Type="http://schemas.openxmlformats.org/officeDocument/2006/relationships/hyperlink" Target="https://www.ncbi.nlm.nih.gov/pubmed/21628599" TargetMode="External"/><Relationship Id="rId130" Type="http://schemas.openxmlformats.org/officeDocument/2006/relationships/hyperlink" Target="https://www.ncbi.nlm.nih.gov/pubmed/16939531" TargetMode="External"/><Relationship Id="rId135" Type="http://schemas.openxmlformats.org/officeDocument/2006/relationships/hyperlink" Target="https://www.ncbi.nlm.nih.gov/pubmed/16433876" TargetMode="External"/><Relationship Id="rId4" Type="http://schemas.openxmlformats.org/officeDocument/2006/relationships/webSettings" Target="webSettings.xml"/><Relationship Id="rId9" Type="http://schemas.openxmlformats.org/officeDocument/2006/relationships/hyperlink" Target="https://www.ncbi.nlm.nih.gov/pmc/articles/PMC4125318/citedby/" TargetMode="External"/><Relationship Id="rId13" Type="http://schemas.openxmlformats.org/officeDocument/2006/relationships/hyperlink" Target="https://www.ncbi.nlm.nih.gov/pmc/articles/PMC4125318/" TargetMode="External"/><Relationship Id="rId18" Type="http://schemas.openxmlformats.org/officeDocument/2006/relationships/hyperlink" Target="https://www.ncbi.nlm.nih.gov/pmc/articles/PMC4125318/table/table1-2042098613486829/" TargetMode="External"/><Relationship Id="rId39" Type="http://schemas.openxmlformats.org/officeDocument/2006/relationships/hyperlink" Target="https://www.ncbi.nlm.nih.gov/pmc/articles/PMC4125318/" TargetMode="External"/><Relationship Id="rId109" Type="http://schemas.openxmlformats.org/officeDocument/2006/relationships/hyperlink" Target="https://www.ncbi.nlm.nih.gov/pubmed/12473007" TargetMode="External"/><Relationship Id="rId34" Type="http://schemas.openxmlformats.org/officeDocument/2006/relationships/hyperlink" Target="https://www.ncbi.nlm.nih.gov/pmc/articles/PMC4125318/table/table3-2042098613486829/" TargetMode="External"/><Relationship Id="rId50" Type="http://schemas.openxmlformats.org/officeDocument/2006/relationships/hyperlink" Target="https://www.ncbi.nlm.nih.gov/pmc/articles/PMC4125318/" TargetMode="External"/><Relationship Id="rId55" Type="http://schemas.openxmlformats.org/officeDocument/2006/relationships/hyperlink" Target="https://www.ncbi.nlm.nih.gov/pmc/articles/PMC4125318/" TargetMode="External"/><Relationship Id="rId76" Type="http://schemas.openxmlformats.org/officeDocument/2006/relationships/hyperlink" Target="http://www.cdc.gov/homeandrecreationalsafety/Falls/adultfalls.html" TargetMode="External"/><Relationship Id="rId97" Type="http://schemas.openxmlformats.org/officeDocument/2006/relationships/hyperlink" Target="https://www.ncbi.nlm.nih.gov/pubmed/20964465" TargetMode="External"/><Relationship Id="rId104" Type="http://schemas.openxmlformats.org/officeDocument/2006/relationships/hyperlink" Target="https://www.ncbi.nlm.nih.gov/pmc/articles/PMC2126112/" TargetMode="External"/><Relationship Id="rId120" Type="http://schemas.openxmlformats.org/officeDocument/2006/relationships/hyperlink" Target="https://www.ncbi.nlm.nih.gov/pubmed/17630041" TargetMode="External"/><Relationship Id="rId125" Type="http://schemas.openxmlformats.org/officeDocument/2006/relationships/hyperlink" Target="https://www.ncbi.nlm.nih.gov/pubmed/17018668" TargetMode="External"/><Relationship Id="rId7" Type="http://schemas.openxmlformats.org/officeDocument/2006/relationships/hyperlink" Target="https://www.ncbi.nlm.nih.gov/pubmed/?term=Van%20der%20Elst%20M%5BAuthor%5D&amp;cauthor=true&amp;cauthor_uid=25114778" TargetMode="External"/><Relationship Id="rId71" Type="http://schemas.openxmlformats.org/officeDocument/2006/relationships/hyperlink" Target="https://www.ncbi.nlm.nih.gov/pubmed/18056659" TargetMode="External"/><Relationship Id="rId92" Type="http://schemas.openxmlformats.org/officeDocument/2006/relationships/hyperlink" Target="https://www.ncbi.nlm.nih.gov/pubmed/21854643" TargetMode="External"/><Relationship Id="rId2" Type="http://schemas.openxmlformats.org/officeDocument/2006/relationships/styles" Target="styles.xml"/><Relationship Id="rId29" Type="http://schemas.openxmlformats.org/officeDocument/2006/relationships/hyperlink" Target="https://www.ncbi.nlm.nih.gov/pmc/articles/PMC4125318/" TargetMode="External"/><Relationship Id="rId24" Type="http://schemas.openxmlformats.org/officeDocument/2006/relationships/hyperlink" Target="https://www.ncbi.nlm.nih.gov/pmc/articles/PMC4125318/" TargetMode="External"/><Relationship Id="rId40" Type="http://schemas.openxmlformats.org/officeDocument/2006/relationships/hyperlink" Target="https://www.ncbi.nlm.nih.gov/pmc/articles/PMC4125318/" TargetMode="External"/><Relationship Id="rId45" Type="http://schemas.openxmlformats.org/officeDocument/2006/relationships/hyperlink" Target="https://www.ncbi.nlm.nih.gov/pmc/articles/PMC4125318/" TargetMode="External"/><Relationship Id="rId66" Type="http://schemas.openxmlformats.org/officeDocument/2006/relationships/hyperlink" Target="https://www.ncbi.nlm.nih.gov/pmc/articles/PMC4125318/" TargetMode="External"/><Relationship Id="rId87" Type="http://schemas.openxmlformats.org/officeDocument/2006/relationships/hyperlink" Target="https://www.ncbi.nlm.nih.gov/pubmed/21045738" TargetMode="External"/><Relationship Id="rId110" Type="http://schemas.openxmlformats.org/officeDocument/2006/relationships/hyperlink" Target="https://www.ncbi.nlm.nih.gov/pmc/articles/PMC2093926/" TargetMode="External"/><Relationship Id="rId115" Type="http://schemas.openxmlformats.org/officeDocument/2006/relationships/hyperlink" Target="https://www.ncbi.nlm.nih.gov/pubmed/2880292" TargetMode="External"/><Relationship Id="rId131" Type="http://schemas.openxmlformats.org/officeDocument/2006/relationships/hyperlink" Target="https://www.ncbi.nlm.nih.gov/pubmed/19933955" TargetMode="External"/><Relationship Id="rId136" Type="http://schemas.openxmlformats.org/officeDocument/2006/relationships/fontTable" Target="fontTable.xml"/><Relationship Id="rId61" Type="http://schemas.openxmlformats.org/officeDocument/2006/relationships/hyperlink" Target="https://www.ncbi.nlm.nih.gov/pmc/articles/PMC4125318/" TargetMode="External"/><Relationship Id="rId82" Type="http://schemas.openxmlformats.org/officeDocument/2006/relationships/hyperlink" Target="https://www.ncbi.nlm.nih.gov/pubmed/12110059" TargetMode="External"/><Relationship Id="rId19" Type="http://schemas.openxmlformats.org/officeDocument/2006/relationships/hyperlink" Target="https://www.ncbi.nlm.nih.gov/pmc/articles/PMC4125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7435</Words>
  <Characters>42380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WoodJS</dc:creator>
  <cp:keywords/>
  <dc:description/>
  <cp:lastModifiedBy>WoodJS</cp:lastModifiedBy>
  <cp:revision>1</cp:revision>
  <dcterms:created xsi:type="dcterms:W3CDTF">2018-03-19T14:04:00Z</dcterms:created>
  <dcterms:modified xsi:type="dcterms:W3CDTF">2018-03-19T15:15:00Z</dcterms:modified>
</cp:coreProperties>
</file>